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5" w:lineRule="auto"/>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580" w:lineRule="exact"/>
        <w:jc w:val="center"/>
        <w:rPr>
          <w:rFonts w:hint="eastAsia" w:ascii="Times New Roman" w:hAnsi="Times New Roman" w:eastAsia="方正小标宋简体" w:cs="Times New Roman"/>
          <w:sz w:val="36"/>
          <w:szCs w:val="36"/>
          <w:highlight w:val="none"/>
          <w:shd w:val="clear" w:color="auto" w:fill="FFFFFF"/>
        </w:rPr>
      </w:pPr>
      <w:r>
        <w:rPr>
          <w:rFonts w:hint="eastAsia" w:ascii="Times New Roman" w:hAnsi="Times New Roman" w:eastAsia="方正小标宋简体" w:cs="Times New Roman"/>
          <w:sz w:val="36"/>
          <w:szCs w:val="36"/>
          <w:highlight w:val="none"/>
          <w:shd w:val="clear" w:color="auto" w:fill="FFFFFF"/>
          <w:lang w:eastAsia="zh-CN"/>
        </w:rPr>
        <w:t>2024年</w:t>
      </w:r>
      <w:r>
        <w:rPr>
          <w:rFonts w:hint="eastAsia" w:ascii="Times New Roman" w:hAnsi="Times New Roman" w:eastAsia="方正小标宋简体" w:cs="Times New Roman"/>
          <w:sz w:val="36"/>
          <w:szCs w:val="36"/>
          <w:highlight w:val="none"/>
          <w:shd w:val="clear" w:color="auto" w:fill="FFFFFF"/>
        </w:rPr>
        <w:t>泰安市新型电力系统建设职业技能竞赛</w:t>
      </w:r>
    </w:p>
    <w:p>
      <w:pPr>
        <w:spacing w:line="540" w:lineRule="exact"/>
        <w:jc w:val="center"/>
        <w:rPr>
          <w:rFonts w:hint="eastAsia" w:ascii="方正小标宋_GBK" w:hAnsi="方正小标宋_GBK" w:eastAsia="方正小标宋简体" w:cs="方正小标宋_GBK"/>
          <w:sz w:val="36"/>
          <w:szCs w:val="36"/>
          <w:shd w:val="clear" w:color="auto" w:fill="FFFFFF"/>
          <w:lang w:val="en-US" w:eastAsia="zh-CN"/>
        </w:rPr>
      </w:pPr>
      <w:r>
        <w:rPr>
          <w:rFonts w:hint="eastAsia" w:ascii="Times New Roman" w:hAnsi="Times New Roman" w:eastAsia="方正小标宋简体" w:cs="Times New Roman"/>
          <w:sz w:val="36"/>
          <w:szCs w:val="36"/>
          <w:highlight w:val="none"/>
          <w:shd w:val="clear" w:color="auto" w:fill="FFFFFF"/>
        </w:rPr>
        <w:t>—</w:t>
      </w:r>
      <w:r>
        <w:rPr>
          <w:rFonts w:hint="eastAsia" w:ascii="Times New Roman" w:hAnsi="Times New Roman" w:eastAsia="方正小标宋简体" w:cs="Times New Roman"/>
          <w:sz w:val="36"/>
          <w:szCs w:val="36"/>
          <w:highlight w:val="none"/>
          <w:shd w:val="clear" w:color="auto" w:fill="FFFFFF"/>
          <w:lang w:eastAsia="zh-CN"/>
        </w:rPr>
        <w:t>变配电站</w:t>
      </w:r>
      <w:r>
        <w:rPr>
          <w:rFonts w:hint="eastAsia" w:ascii="Times New Roman" w:hAnsi="Times New Roman" w:eastAsia="方正小标宋简体" w:cs="Times New Roman"/>
          <w:sz w:val="36"/>
          <w:szCs w:val="36"/>
          <w:highlight w:val="none"/>
          <w:shd w:val="clear" w:color="auto" w:fill="FFFFFF"/>
          <w:lang w:val="en-US" w:eastAsia="zh-CN"/>
        </w:rPr>
        <w:t>运行</w:t>
      </w:r>
      <w:r>
        <w:rPr>
          <w:rFonts w:hint="eastAsia" w:ascii="Times New Roman" w:hAnsi="Times New Roman" w:eastAsia="方正小标宋简体" w:cs="Times New Roman"/>
          <w:sz w:val="36"/>
          <w:szCs w:val="36"/>
          <w:highlight w:val="none"/>
          <w:shd w:val="clear" w:color="auto" w:fill="FFFFFF"/>
          <w:lang w:eastAsia="zh-CN"/>
        </w:rPr>
        <w:t>值班</w:t>
      </w:r>
      <w:r>
        <w:rPr>
          <w:rFonts w:hint="eastAsia" w:ascii="Times New Roman" w:hAnsi="Times New Roman" w:eastAsia="方正小标宋简体" w:cs="Times New Roman"/>
          <w:sz w:val="36"/>
          <w:szCs w:val="36"/>
          <w:highlight w:val="none"/>
          <w:shd w:val="clear" w:color="auto" w:fill="FFFFFF"/>
        </w:rPr>
        <w:t>员竞赛技术</w:t>
      </w:r>
      <w:r>
        <w:rPr>
          <w:rFonts w:hint="eastAsia" w:ascii="Times New Roman" w:hAnsi="Times New Roman" w:eastAsia="方正小标宋简体" w:cs="Times New Roman"/>
          <w:sz w:val="36"/>
          <w:szCs w:val="36"/>
          <w:highlight w:val="none"/>
          <w:shd w:val="clear" w:color="auto" w:fill="FFFFFF"/>
          <w:lang w:val="en-US" w:eastAsia="zh-CN"/>
        </w:rPr>
        <w:t>文件</w:t>
      </w: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pStyle w:val="15"/>
        <w:keepNext w:val="0"/>
        <w:keepLines w:val="0"/>
        <w:pageBreakBefore w:val="0"/>
        <w:widowControl w:val="0"/>
        <w:kinsoku/>
        <w:wordWrap/>
        <w:overflowPunct/>
        <w:topLinePunct w:val="0"/>
        <w:autoSpaceDE w:val="0"/>
        <w:autoSpaceDN w:val="0"/>
        <w:bidi w:val="0"/>
        <w:spacing w:line="580" w:lineRule="exact"/>
        <w:ind w:firstLine="640" w:firstLineChars="200"/>
        <w:jc w:val="center"/>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竞赛组委会办公室</w:t>
      </w:r>
    </w:p>
    <w:p>
      <w:pPr>
        <w:pStyle w:val="15"/>
        <w:keepNext w:val="0"/>
        <w:keepLines w:val="0"/>
        <w:pageBreakBefore w:val="0"/>
        <w:widowControl w:val="0"/>
        <w:kinsoku/>
        <w:wordWrap/>
        <w:overflowPunct/>
        <w:topLinePunct w:val="0"/>
        <w:autoSpaceDE w:val="0"/>
        <w:autoSpaceDN w:val="0"/>
        <w:bidi w:val="0"/>
        <w:spacing w:line="580" w:lineRule="exact"/>
        <w:ind w:firstLine="640" w:firstLineChars="200"/>
        <w:jc w:val="center"/>
        <w:textAlignment w:val="auto"/>
        <w:outlineLvl w:val="9"/>
        <w:rPr>
          <w:rFonts w:ascii="Arial"/>
          <w:sz w:val="21"/>
        </w:rPr>
      </w:pPr>
      <w:r>
        <w:rPr>
          <w:rFonts w:hint="eastAsia" w:ascii="方正仿宋_GBK" w:hAnsi="方正仿宋_GBK" w:eastAsia="方正仿宋_GBK" w:cs="方正仿宋_GBK"/>
          <w:sz w:val="32"/>
          <w:szCs w:val="32"/>
          <w:lang w:val="en-US" w:eastAsia="zh-CN"/>
        </w:rPr>
        <w:t>2024年7月10日</w:t>
      </w: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2"/>
        <w:ind w:left="0" w:leftChars="0" w:firstLine="0" w:firstLineChars="0"/>
        <w:rPr>
          <w:rFonts w:ascii="Arial"/>
          <w:sz w:val="21"/>
        </w:rPr>
      </w:pPr>
    </w:p>
    <w:p>
      <w:pPr>
        <w:rPr>
          <w:rFonts w:ascii="Arial"/>
          <w:sz w:val="21"/>
        </w:rPr>
      </w:pPr>
    </w:p>
    <w:p>
      <w:pPr>
        <w:pStyle w:val="2"/>
        <w:rPr>
          <w:rFonts w:ascii="Arial"/>
          <w:sz w:val="21"/>
        </w:rPr>
      </w:pPr>
    </w:p>
    <w:p>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19" w:lineRule="auto"/>
        <w:ind w:left="3399"/>
        <w:rPr>
          <w:rFonts w:ascii="宋体" w:hAnsi="宋体" w:eastAsia="宋体" w:cs="宋体"/>
          <w:sz w:val="32"/>
          <w:szCs w:val="32"/>
        </w:rPr>
      </w:pPr>
    </w:p>
    <w:p>
      <w:pPr>
        <w:spacing w:line="219" w:lineRule="auto"/>
        <w:rPr>
          <w:rFonts w:ascii="宋体" w:hAnsi="宋体" w:eastAsia="宋体" w:cs="宋体"/>
          <w:sz w:val="32"/>
          <w:szCs w:val="32"/>
        </w:rPr>
        <w:sectPr>
          <w:footerReference r:id="rId3" w:type="default"/>
          <w:pgSz w:w="11900" w:h="16840"/>
          <w:pgMar w:top="1431" w:right="1785" w:bottom="400" w:left="1785" w:header="0" w:footer="0" w:gutter="0"/>
          <w:cols w:space="720" w:num="1"/>
        </w:sectPr>
      </w:pP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rPr>
      </w:pPr>
      <w:r>
        <w:rPr>
          <w:rFonts w:hint="eastAsia" w:ascii="方正仿宋_GBK" w:hAnsi="方正仿宋_GBK" w:eastAsia="方正仿宋_GBK" w:cs="方正仿宋_GBK"/>
          <w:spacing w:val="-7"/>
          <w:sz w:val="32"/>
          <w:szCs w:val="32"/>
        </w:rPr>
        <w:t>为顺应行业发展趋势和行业人才需求，服务双碳目标，提升</w:t>
      </w:r>
      <w:r>
        <w:rPr>
          <w:rFonts w:hint="eastAsia" w:ascii="方正仿宋_GBK" w:hAnsi="方正仿宋_GBK" w:eastAsia="方正仿宋_GBK" w:cs="方正仿宋_GBK"/>
          <w:spacing w:val="-7"/>
          <w:sz w:val="32"/>
          <w:szCs w:val="32"/>
          <w:lang w:val="en-US" w:eastAsia="zh-CN"/>
        </w:rPr>
        <w:t>变电运维</w:t>
      </w:r>
      <w:r>
        <w:rPr>
          <w:rFonts w:hint="eastAsia" w:ascii="方正仿宋_GBK" w:hAnsi="方正仿宋_GBK" w:eastAsia="方正仿宋_GBK" w:cs="方正仿宋_GBK"/>
          <w:spacing w:val="-7"/>
          <w:sz w:val="32"/>
          <w:szCs w:val="32"/>
        </w:rPr>
        <w:t>队伍素质，提高泰安电网供电可靠性，助力全市电力企业培养更多高素质技能人才、能工巧匠和大国工匠，为新型工业化强市建设作出更大贡献，特举办</w:t>
      </w:r>
      <w:r>
        <w:rPr>
          <w:rFonts w:hint="eastAsia" w:ascii="方正仿宋_GBK" w:hAnsi="方正仿宋_GBK" w:eastAsia="方正仿宋_GBK" w:cs="方正仿宋_GBK"/>
          <w:spacing w:val="-7"/>
          <w:sz w:val="32"/>
          <w:szCs w:val="32"/>
          <w:lang w:eastAsia="zh-CN"/>
        </w:rPr>
        <w:t>2024年</w:t>
      </w:r>
      <w:r>
        <w:rPr>
          <w:rFonts w:hint="eastAsia" w:ascii="方正仿宋_GBK" w:hAnsi="方正仿宋_GBK" w:eastAsia="方正仿宋_GBK" w:cs="方正仿宋_GBK"/>
          <w:spacing w:val="-7"/>
          <w:sz w:val="32"/>
          <w:szCs w:val="32"/>
        </w:rPr>
        <w:t>泰安市新型电力系统建设职业技能竞赛—</w:t>
      </w:r>
      <w:r>
        <w:rPr>
          <w:rFonts w:hint="eastAsia" w:ascii="方正仿宋_GBK" w:hAnsi="方正仿宋_GBK" w:eastAsia="方正仿宋_GBK" w:cs="方正仿宋_GBK"/>
          <w:spacing w:val="-7"/>
          <w:sz w:val="32"/>
          <w:szCs w:val="32"/>
          <w:lang w:eastAsia="zh-CN"/>
        </w:rPr>
        <w:t>变配电站</w:t>
      </w:r>
      <w:r>
        <w:rPr>
          <w:rFonts w:hint="eastAsia" w:ascii="方正仿宋_GBK" w:hAnsi="方正仿宋_GBK" w:eastAsia="方正仿宋_GBK" w:cs="方正仿宋_GBK"/>
          <w:spacing w:val="-7"/>
          <w:sz w:val="32"/>
          <w:szCs w:val="32"/>
          <w:lang w:val="en-US" w:eastAsia="zh-CN"/>
        </w:rPr>
        <w:t>运行</w:t>
      </w:r>
      <w:r>
        <w:rPr>
          <w:rFonts w:hint="eastAsia" w:ascii="方正仿宋_GBK" w:hAnsi="方正仿宋_GBK" w:eastAsia="方正仿宋_GBK" w:cs="方正仿宋_GBK"/>
          <w:spacing w:val="-7"/>
          <w:sz w:val="32"/>
          <w:szCs w:val="32"/>
          <w:lang w:eastAsia="zh-CN"/>
        </w:rPr>
        <w:t>值班</w:t>
      </w:r>
      <w:r>
        <w:rPr>
          <w:rFonts w:hint="eastAsia" w:ascii="方正仿宋_GBK" w:hAnsi="方正仿宋_GBK" w:eastAsia="方正仿宋_GBK" w:cs="方正仿宋_GBK"/>
          <w:spacing w:val="-7"/>
          <w:sz w:val="32"/>
          <w:szCs w:val="32"/>
        </w:rPr>
        <w:t>员竞赛。</w:t>
      </w:r>
    </w:p>
    <w:p>
      <w:pPr>
        <w:spacing w:before="204" w:line="221" w:lineRule="auto"/>
        <w:ind w:left="639"/>
        <w:outlineLvl w:val="1"/>
        <w:rPr>
          <w:rFonts w:ascii="黑体" w:hAnsi="黑体" w:eastAsia="黑体" w:cs="黑体"/>
          <w:sz w:val="31"/>
          <w:szCs w:val="31"/>
        </w:rPr>
      </w:pPr>
      <w:r>
        <w:rPr>
          <w:rFonts w:ascii="黑体" w:hAnsi="黑体" w:eastAsia="黑体" w:cs="黑体"/>
          <w:b/>
          <w:bCs/>
          <w:spacing w:val="-14"/>
          <w:sz w:val="31"/>
          <w:szCs w:val="31"/>
        </w:rPr>
        <w:t>一、竞赛工种、项目及内容</w:t>
      </w:r>
    </w:p>
    <w:p>
      <w:pPr>
        <w:keepNext w:val="0"/>
        <w:keepLines w:val="0"/>
        <w:pageBreakBefore w:val="0"/>
        <w:widowControl/>
        <w:kinsoku w:val="0"/>
        <w:wordWrap/>
        <w:overflowPunct/>
        <w:topLinePunct w:val="0"/>
        <w:autoSpaceDE w:val="0"/>
        <w:autoSpaceDN w:val="0"/>
        <w:bidi w:val="0"/>
        <w:adjustRightInd w:val="0"/>
        <w:snapToGrid w:val="0"/>
        <w:spacing w:before="198" w:line="240" w:lineRule="auto"/>
        <w:ind w:left="759"/>
        <w:textAlignment w:val="baseline"/>
        <w:rPr>
          <w:rFonts w:ascii="楷体" w:hAnsi="楷体" w:eastAsia="楷体" w:cs="楷体"/>
          <w:b/>
          <w:bCs/>
          <w:spacing w:val="21"/>
          <w:sz w:val="31"/>
          <w:szCs w:val="31"/>
        </w:rPr>
      </w:pPr>
      <w:r>
        <w:rPr>
          <w:rFonts w:ascii="楷体" w:hAnsi="楷体" w:eastAsia="楷体" w:cs="楷体"/>
          <w:b/>
          <w:bCs/>
          <w:spacing w:val="21"/>
          <w:sz w:val="31"/>
          <w:szCs w:val="31"/>
        </w:rPr>
        <w:t>(一)竞赛主题</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rPr>
      </w:pPr>
      <w:r>
        <w:rPr>
          <w:rFonts w:hint="eastAsia" w:ascii="方正仿宋_GBK" w:hAnsi="方正仿宋_GBK" w:eastAsia="方正仿宋_GBK" w:cs="方正仿宋_GBK"/>
          <w:spacing w:val="-7"/>
          <w:sz w:val="32"/>
          <w:szCs w:val="32"/>
        </w:rPr>
        <w:t>以赛促学、以赛促训、以赛促评、以赛促建</w:t>
      </w:r>
    </w:p>
    <w:p>
      <w:pPr>
        <w:keepNext w:val="0"/>
        <w:keepLines w:val="0"/>
        <w:pageBreakBefore w:val="0"/>
        <w:widowControl/>
        <w:kinsoku w:val="0"/>
        <w:wordWrap/>
        <w:overflowPunct/>
        <w:topLinePunct w:val="0"/>
        <w:autoSpaceDE w:val="0"/>
        <w:autoSpaceDN w:val="0"/>
        <w:bidi w:val="0"/>
        <w:adjustRightInd w:val="0"/>
        <w:snapToGrid w:val="0"/>
        <w:spacing w:before="198" w:line="240" w:lineRule="auto"/>
        <w:ind w:left="759"/>
        <w:textAlignment w:val="baseline"/>
        <w:rPr>
          <w:rFonts w:ascii="楷体" w:hAnsi="楷体" w:eastAsia="楷体" w:cs="楷体"/>
          <w:b/>
          <w:bCs/>
          <w:spacing w:val="21"/>
          <w:sz w:val="31"/>
          <w:szCs w:val="31"/>
        </w:rPr>
      </w:pPr>
      <w:r>
        <w:rPr>
          <w:rFonts w:ascii="楷体" w:hAnsi="楷体" w:eastAsia="楷体" w:cs="楷体"/>
          <w:b/>
          <w:bCs/>
          <w:spacing w:val="21"/>
          <w:sz w:val="31"/>
          <w:szCs w:val="31"/>
        </w:rPr>
        <w:t>(二)竞赛工种</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rPr>
      </w:pPr>
      <w:r>
        <w:rPr>
          <w:rFonts w:hint="eastAsia" w:ascii="方正仿宋_GBK" w:hAnsi="方正仿宋_GBK" w:eastAsia="方正仿宋_GBK" w:cs="方正仿宋_GBK"/>
          <w:spacing w:val="-7"/>
          <w:sz w:val="32"/>
          <w:szCs w:val="32"/>
          <w:lang w:eastAsia="zh-CN"/>
        </w:rPr>
        <w:t>变配电站</w:t>
      </w:r>
      <w:r>
        <w:rPr>
          <w:rFonts w:hint="eastAsia" w:ascii="方正仿宋_GBK" w:hAnsi="方正仿宋_GBK" w:eastAsia="方正仿宋_GBK" w:cs="方正仿宋_GBK"/>
          <w:spacing w:val="-7"/>
          <w:sz w:val="32"/>
          <w:szCs w:val="32"/>
          <w:lang w:val="en-US" w:eastAsia="zh-CN"/>
        </w:rPr>
        <w:t>运行</w:t>
      </w:r>
      <w:r>
        <w:rPr>
          <w:rFonts w:hint="eastAsia" w:ascii="方正仿宋_GBK" w:hAnsi="方正仿宋_GBK" w:eastAsia="方正仿宋_GBK" w:cs="方正仿宋_GBK"/>
          <w:spacing w:val="-7"/>
          <w:sz w:val="32"/>
          <w:szCs w:val="32"/>
          <w:lang w:eastAsia="zh-CN"/>
        </w:rPr>
        <w:t>值班</w:t>
      </w:r>
      <w:r>
        <w:rPr>
          <w:rFonts w:hint="eastAsia" w:ascii="方正仿宋_GBK" w:hAnsi="方正仿宋_GBK" w:eastAsia="方正仿宋_GBK" w:cs="方正仿宋_GBK"/>
          <w:spacing w:val="-7"/>
          <w:sz w:val="32"/>
          <w:szCs w:val="32"/>
        </w:rPr>
        <w:t>员</w:t>
      </w:r>
    </w:p>
    <w:p>
      <w:pPr>
        <w:keepNext w:val="0"/>
        <w:keepLines w:val="0"/>
        <w:pageBreakBefore w:val="0"/>
        <w:widowControl/>
        <w:kinsoku w:val="0"/>
        <w:wordWrap/>
        <w:overflowPunct/>
        <w:topLinePunct w:val="0"/>
        <w:autoSpaceDE w:val="0"/>
        <w:autoSpaceDN w:val="0"/>
        <w:bidi w:val="0"/>
        <w:adjustRightInd w:val="0"/>
        <w:snapToGrid w:val="0"/>
        <w:spacing w:before="198" w:line="240" w:lineRule="auto"/>
        <w:ind w:left="759"/>
        <w:textAlignment w:val="baseline"/>
        <w:rPr>
          <w:rFonts w:ascii="楷体" w:hAnsi="楷体" w:eastAsia="楷体" w:cs="楷体"/>
          <w:b/>
          <w:bCs/>
          <w:spacing w:val="21"/>
          <w:sz w:val="31"/>
          <w:szCs w:val="31"/>
        </w:rPr>
      </w:pPr>
      <w:r>
        <w:rPr>
          <w:rFonts w:ascii="楷体" w:hAnsi="楷体" w:eastAsia="楷体" w:cs="楷体"/>
          <w:b/>
          <w:bCs/>
          <w:spacing w:val="21"/>
          <w:sz w:val="31"/>
          <w:szCs w:val="31"/>
        </w:rPr>
        <w:t>(三)竞赛项目</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zh-CN" w:eastAsia="zh-CN"/>
        </w:rPr>
      </w:pPr>
      <w:r>
        <w:rPr>
          <w:rFonts w:hint="eastAsia" w:ascii="方正仿宋_GBK" w:hAnsi="方正仿宋_GBK" w:eastAsia="方正仿宋_GBK" w:cs="方正仿宋_GBK"/>
          <w:spacing w:val="-7"/>
          <w:sz w:val="32"/>
          <w:szCs w:val="32"/>
          <w:lang w:val="en-US" w:eastAsia="zh-CN"/>
        </w:rPr>
        <w:t>项目1：微机</w:t>
      </w:r>
      <w:r>
        <w:rPr>
          <w:rFonts w:hint="eastAsia" w:ascii="方正仿宋_GBK" w:hAnsi="方正仿宋_GBK" w:eastAsia="方正仿宋_GBK" w:cs="方正仿宋_GBK"/>
          <w:spacing w:val="-7"/>
          <w:sz w:val="32"/>
          <w:szCs w:val="32"/>
          <w:lang w:val="zh-CN" w:eastAsia="zh-CN"/>
        </w:rPr>
        <w:t>仿真（倒闸操作及缺陷处理）</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rPr>
      </w:pPr>
      <w:r>
        <w:rPr>
          <w:rFonts w:hint="eastAsia" w:ascii="方正仿宋_GBK" w:hAnsi="方正仿宋_GBK" w:eastAsia="方正仿宋_GBK" w:cs="方正仿宋_GBK"/>
          <w:spacing w:val="-7"/>
          <w:sz w:val="32"/>
          <w:szCs w:val="32"/>
          <w:lang w:val="en-US" w:eastAsia="zh-CN"/>
        </w:rPr>
        <w:t>项目2：GIS特高频、超声波检测</w:t>
      </w:r>
    </w:p>
    <w:p>
      <w:pPr>
        <w:keepNext w:val="0"/>
        <w:keepLines w:val="0"/>
        <w:pageBreakBefore w:val="0"/>
        <w:widowControl/>
        <w:kinsoku w:val="0"/>
        <w:wordWrap/>
        <w:overflowPunct/>
        <w:topLinePunct w:val="0"/>
        <w:autoSpaceDE w:val="0"/>
        <w:autoSpaceDN w:val="0"/>
        <w:bidi w:val="0"/>
        <w:adjustRightInd w:val="0"/>
        <w:snapToGrid w:val="0"/>
        <w:spacing w:before="198" w:line="240" w:lineRule="auto"/>
        <w:ind w:left="759"/>
        <w:textAlignment w:val="baseline"/>
        <w:rPr>
          <w:rFonts w:ascii="楷体" w:hAnsi="楷体" w:eastAsia="楷体" w:cs="楷体"/>
          <w:b/>
          <w:bCs/>
          <w:spacing w:val="21"/>
          <w:sz w:val="31"/>
          <w:szCs w:val="31"/>
        </w:rPr>
      </w:pPr>
      <w:r>
        <w:rPr>
          <w:rFonts w:ascii="楷体" w:hAnsi="楷体" w:eastAsia="楷体" w:cs="楷体"/>
          <w:b/>
          <w:bCs/>
          <w:spacing w:val="21"/>
          <w:sz w:val="31"/>
          <w:szCs w:val="31"/>
        </w:rPr>
        <w:t>(四)竞赛内容</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个人项目（项目1）：微机仿真操作，采取模拟具体场景考查参赛选手变电倒闸操作、事故处理以及配套工器具选取、安全措施布置等科目。</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default"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团体项目（项目2）：GIS特高频、超声波检测标准化操作，考查参赛选手标准化操作流程规范性。</w:t>
      </w:r>
    </w:p>
    <w:p>
      <w:pPr>
        <w:spacing w:before="183" w:line="222" w:lineRule="auto"/>
        <w:ind w:left="594"/>
        <w:outlineLvl w:val="1"/>
        <w:rPr>
          <w:rFonts w:ascii="黑体" w:hAnsi="黑体" w:eastAsia="黑体" w:cs="黑体"/>
          <w:sz w:val="32"/>
          <w:szCs w:val="32"/>
        </w:rPr>
      </w:pPr>
      <w:r>
        <w:rPr>
          <w:rFonts w:ascii="黑体" w:hAnsi="黑体" w:eastAsia="黑体" w:cs="黑体"/>
          <w:b/>
          <w:bCs/>
          <w:spacing w:val="-21"/>
          <w:sz w:val="32"/>
          <w:szCs w:val="32"/>
        </w:rPr>
        <w:t>二、参赛范围</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1.参赛人员为从事变电运维专业的人员，年龄18至45周岁（2006年6月至1979年6月）的企业在职职工，以工作单位出具的社保缴纳明细为准，具有相关职业(工种)中级工及以上职业资格或具有助理工程师及以上技术职称的人员均可报名参赛。</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2.每支队伍设领队1名、教练1名、参赛队员2名</w:t>
      </w:r>
      <w:bookmarkStart w:id="0" w:name="_GoBack"/>
      <w:bookmarkEnd w:id="0"/>
      <w:r>
        <w:rPr>
          <w:rFonts w:hint="eastAsia" w:ascii="方正仿宋_GBK" w:hAnsi="方正仿宋_GBK" w:eastAsia="方正仿宋_GBK" w:cs="方正仿宋_GBK"/>
          <w:spacing w:val="-7"/>
          <w:sz w:val="32"/>
          <w:szCs w:val="32"/>
          <w:lang w:val="en-US" w:eastAsia="zh-CN"/>
        </w:rPr>
        <w:t>。</w:t>
      </w:r>
    </w:p>
    <w:p>
      <w:pPr>
        <w:spacing w:before="141" w:line="222" w:lineRule="auto"/>
        <w:ind w:left="594"/>
        <w:outlineLvl w:val="1"/>
        <w:rPr>
          <w:rFonts w:ascii="黑体" w:hAnsi="黑体" w:eastAsia="黑体" w:cs="黑体"/>
          <w:sz w:val="32"/>
          <w:szCs w:val="32"/>
        </w:rPr>
      </w:pPr>
      <w:r>
        <w:rPr>
          <w:rFonts w:ascii="黑体" w:hAnsi="黑体" w:eastAsia="黑体" w:cs="黑体"/>
          <w:b/>
          <w:bCs/>
          <w:spacing w:val="-16"/>
          <w:sz w:val="32"/>
          <w:szCs w:val="32"/>
        </w:rPr>
        <w:t>三、竞赛内容及形式</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本次竞赛均为技能操作。</w:t>
      </w:r>
    </w:p>
    <w:p>
      <w:pPr>
        <w:spacing w:before="198" w:line="227" w:lineRule="auto"/>
        <w:ind w:left="759"/>
        <w:rPr>
          <w:rFonts w:hint="eastAsia"/>
        </w:rPr>
      </w:pPr>
      <w:r>
        <w:rPr>
          <w:rFonts w:ascii="楷体" w:hAnsi="楷体" w:eastAsia="楷体" w:cs="楷体"/>
          <w:b/>
          <w:bCs/>
          <w:spacing w:val="21"/>
          <w:sz w:val="31"/>
          <w:szCs w:val="31"/>
        </w:rPr>
        <w:t>(</w:t>
      </w:r>
      <w:r>
        <w:rPr>
          <w:rFonts w:hint="eastAsia" w:ascii="楷体" w:hAnsi="楷体" w:eastAsia="楷体" w:cs="楷体"/>
          <w:b/>
          <w:bCs/>
          <w:spacing w:val="21"/>
          <w:sz w:val="31"/>
          <w:szCs w:val="31"/>
          <w:lang w:val="en-US" w:eastAsia="zh-CN"/>
        </w:rPr>
        <w:t>一</w:t>
      </w:r>
      <w:r>
        <w:rPr>
          <w:rFonts w:ascii="楷体" w:hAnsi="楷体" w:eastAsia="楷体" w:cs="楷体"/>
          <w:b/>
          <w:bCs/>
          <w:spacing w:val="21"/>
          <w:sz w:val="31"/>
          <w:szCs w:val="31"/>
        </w:rPr>
        <w:t>)技能操作</w:t>
      </w:r>
    </w:p>
    <w:p>
      <w:pPr>
        <w:spacing w:before="198" w:line="227" w:lineRule="auto"/>
        <w:ind w:left="759"/>
        <w:rPr>
          <w:rFonts w:ascii="楷体" w:hAnsi="楷体" w:eastAsia="楷体" w:cs="楷体"/>
          <w:b/>
          <w:bCs/>
          <w:spacing w:val="21"/>
          <w:sz w:val="31"/>
          <w:szCs w:val="31"/>
        </w:rPr>
      </w:pPr>
      <w:r>
        <w:rPr>
          <w:rFonts w:hint="eastAsia" w:ascii="楷体" w:hAnsi="楷体" w:eastAsia="楷体" w:cs="楷体"/>
          <w:b/>
          <w:bCs/>
          <w:spacing w:val="21"/>
          <w:sz w:val="31"/>
          <w:szCs w:val="31"/>
          <w:lang w:val="en-US" w:eastAsia="zh-CN"/>
        </w:rPr>
        <w:t>项目1：微机仿真（倒闸操作及缺陷处理）</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考试范围：</w:t>
      </w:r>
      <w:r>
        <w:rPr>
          <w:rFonts w:hint="eastAsia" w:ascii="方正仿宋_GBK" w:hAnsi="方正仿宋_GBK" w:eastAsia="方正仿宋_GBK" w:cs="方正仿宋_GBK"/>
          <w:spacing w:val="-7"/>
          <w:sz w:val="32"/>
          <w:szCs w:val="32"/>
          <w:lang w:val="zh-CN" w:eastAsia="zh-CN"/>
        </w:rPr>
        <w:t>以国家、行业安全生产法律法规及有关规章制度和规程标准为主要依据。</w:t>
      </w:r>
      <w:r>
        <w:rPr>
          <w:rFonts w:hint="eastAsia" w:ascii="方正仿宋_GBK" w:hAnsi="方正仿宋_GBK" w:eastAsia="方正仿宋_GBK" w:cs="方正仿宋_GBK"/>
          <w:spacing w:val="-7"/>
          <w:sz w:val="32"/>
          <w:szCs w:val="32"/>
          <w:lang w:val="en-US" w:eastAsia="zh-CN"/>
        </w:rPr>
        <w:t>《220kVxx站现场运行专用规程》、《仿真变电站使用说明书》等。</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考试题型：模拟变电站具体场景进行变电倒闸操作、事故处理以及配套工器具选取、安全措施布置等科目考查。</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竞赛要求：每支队伍2名参赛队员均参加，抽签决定考试场次。为避免发生作弊行为，禁止参赛队员携带任何通讯工具、电子设备等进入考场，考试全程监控。如发现参赛队员有作弊行为，取消比赛资格。考试时间为60分钟，满分100分。</w:t>
      </w:r>
    </w:p>
    <w:p>
      <w:pPr>
        <w:spacing w:before="198" w:line="227" w:lineRule="auto"/>
        <w:ind w:left="759"/>
        <w:rPr>
          <w:rFonts w:ascii="楷体" w:hAnsi="楷体" w:eastAsia="楷体" w:cs="楷体"/>
          <w:b/>
          <w:bCs/>
          <w:spacing w:val="21"/>
          <w:sz w:val="31"/>
          <w:szCs w:val="31"/>
        </w:rPr>
      </w:pPr>
      <w:r>
        <w:rPr>
          <w:rFonts w:hint="eastAsia" w:ascii="楷体" w:hAnsi="楷体" w:eastAsia="楷体" w:cs="楷体"/>
          <w:b/>
          <w:bCs/>
          <w:spacing w:val="21"/>
          <w:sz w:val="31"/>
          <w:szCs w:val="31"/>
          <w:lang w:val="en-US" w:eastAsia="zh-CN"/>
        </w:rPr>
        <w:t>项目2：GIS特高频、超声波检测</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竞赛内容：通过放电模拟装置模拟沿面、悬浮、气隙、尖端四种GIS放电类型，由选手进行判断。利用带电检测仪对模拟放电信号进行检测并在规定时间内完成放电类型的判断，编写检查分析报告。</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赛场提供的设备：GIS放电模拟装置、带电检测仪器，计时装置等。</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竞赛要求：2名选手协作参加团体技能操作项目。实操考试时间为50分钟，满分100分。</w:t>
      </w:r>
    </w:p>
    <w:p>
      <w:pPr>
        <w:spacing w:before="198" w:line="227" w:lineRule="auto"/>
        <w:ind w:left="759"/>
        <w:rPr>
          <w:rFonts w:ascii="楷体" w:hAnsi="楷体" w:eastAsia="楷体" w:cs="楷体"/>
          <w:b/>
          <w:bCs/>
          <w:spacing w:val="21"/>
          <w:sz w:val="31"/>
          <w:szCs w:val="31"/>
        </w:rPr>
      </w:pPr>
      <w:r>
        <w:rPr>
          <w:rFonts w:ascii="楷体" w:hAnsi="楷体" w:eastAsia="楷体" w:cs="楷体"/>
          <w:b/>
          <w:bCs/>
          <w:spacing w:val="21"/>
          <w:sz w:val="31"/>
          <w:szCs w:val="31"/>
        </w:rPr>
        <w:t>(</w:t>
      </w:r>
      <w:r>
        <w:rPr>
          <w:rFonts w:hint="eastAsia" w:ascii="楷体" w:hAnsi="楷体" w:eastAsia="楷体" w:cs="楷体"/>
          <w:b/>
          <w:bCs/>
          <w:spacing w:val="21"/>
          <w:sz w:val="31"/>
          <w:szCs w:val="31"/>
          <w:lang w:val="en-US" w:eastAsia="zh-CN"/>
        </w:rPr>
        <w:t>二</w:t>
      </w:r>
      <w:r>
        <w:rPr>
          <w:rFonts w:ascii="楷体" w:hAnsi="楷体" w:eastAsia="楷体" w:cs="楷体"/>
          <w:b/>
          <w:bCs/>
          <w:spacing w:val="21"/>
          <w:sz w:val="31"/>
          <w:szCs w:val="31"/>
        </w:rPr>
        <w:t>)成绩计算</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本次竞赛分个人成绩和团体成绩。</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zh-CN" w:eastAsia="zh-CN"/>
        </w:rPr>
      </w:pPr>
      <w:r>
        <w:rPr>
          <w:rFonts w:hint="eastAsia" w:ascii="方正仿宋_GBK" w:hAnsi="方正仿宋_GBK" w:eastAsia="方正仿宋_GBK" w:cs="方正仿宋_GBK"/>
          <w:spacing w:val="-7"/>
          <w:sz w:val="32"/>
          <w:szCs w:val="32"/>
          <w:lang w:val="zh-CN" w:eastAsia="zh-CN"/>
        </w:rPr>
        <w:t>个人成绩=项目</w:t>
      </w:r>
      <w:r>
        <w:rPr>
          <w:rFonts w:hint="eastAsia" w:ascii="方正仿宋_GBK" w:hAnsi="方正仿宋_GBK" w:eastAsia="方正仿宋_GBK" w:cs="方正仿宋_GBK"/>
          <w:spacing w:val="-7"/>
          <w:sz w:val="32"/>
          <w:szCs w:val="32"/>
          <w:lang w:val="en-US" w:eastAsia="zh-CN"/>
        </w:rPr>
        <w:t>1成绩</w:t>
      </w:r>
      <w:r>
        <w:rPr>
          <w:rFonts w:hint="eastAsia" w:ascii="方正仿宋_GBK" w:hAnsi="方正仿宋_GBK" w:eastAsia="方正仿宋_GBK" w:cs="方正仿宋_GBK"/>
          <w:spacing w:val="-7"/>
          <w:sz w:val="32"/>
          <w:szCs w:val="32"/>
          <w:lang w:val="zh-CN" w:eastAsia="zh-CN"/>
        </w:rPr>
        <w:t>。</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zh-CN" w:eastAsia="zh-CN"/>
        </w:rPr>
        <w:t>团体竞赛总成绩=∑</w:t>
      </w:r>
      <w:r>
        <w:rPr>
          <w:rFonts w:hint="eastAsia" w:ascii="方正仿宋_GBK" w:hAnsi="方正仿宋_GBK" w:eastAsia="方正仿宋_GBK" w:cs="方正仿宋_GBK"/>
          <w:spacing w:val="-7"/>
          <w:sz w:val="32"/>
          <w:szCs w:val="32"/>
          <w:lang w:val="en-US" w:eastAsia="zh-CN"/>
        </w:rPr>
        <w:t>两名选手</w:t>
      </w:r>
      <w:r>
        <w:rPr>
          <w:rFonts w:hint="eastAsia" w:ascii="方正仿宋_GBK" w:hAnsi="方正仿宋_GBK" w:eastAsia="方正仿宋_GBK" w:cs="方正仿宋_GBK"/>
          <w:spacing w:val="-7"/>
          <w:sz w:val="32"/>
          <w:szCs w:val="32"/>
          <w:lang w:val="zh-CN" w:eastAsia="zh-CN"/>
        </w:rPr>
        <w:t>项目</w:t>
      </w:r>
      <w:r>
        <w:rPr>
          <w:rFonts w:hint="eastAsia" w:ascii="方正仿宋_GBK" w:hAnsi="方正仿宋_GBK" w:eastAsia="方正仿宋_GBK" w:cs="方正仿宋_GBK"/>
          <w:spacing w:val="-7"/>
          <w:sz w:val="32"/>
          <w:szCs w:val="32"/>
          <w:lang w:val="en-US" w:eastAsia="zh-CN"/>
        </w:rPr>
        <w:t>1</w:t>
      </w:r>
      <w:r>
        <w:rPr>
          <w:rFonts w:hint="eastAsia" w:ascii="方正仿宋_GBK" w:hAnsi="方正仿宋_GBK" w:eastAsia="方正仿宋_GBK" w:cs="方正仿宋_GBK"/>
          <w:spacing w:val="-7"/>
          <w:sz w:val="32"/>
          <w:szCs w:val="32"/>
          <w:lang w:val="zh-CN" w:eastAsia="zh-CN"/>
        </w:rPr>
        <w:t>总成绩／</w:t>
      </w:r>
      <w:r>
        <w:rPr>
          <w:rFonts w:hint="eastAsia" w:ascii="方正仿宋_GBK" w:hAnsi="方正仿宋_GBK" w:eastAsia="方正仿宋_GBK" w:cs="方正仿宋_GBK"/>
          <w:spacing w:val="-7"/>
          <w:sz w:val="32"/>
          <w:szCs w:val="32"/>
          <w:lang w:val="en-US" w:eastAsia="zh-CN"/>
        </w:rPr>
        <w:t>2</w:t>
      </w:r>
      <w:r>
        <w:rPr>
          <w:rFonts w:hint="eastAsia" w:ascii="方正仿宋_GBK" w:hAnsi="方正仿宋_GBK" w:eastAsia="方正仿宋_GBK" w:cs="方正仿宋_GBK"/>
          <w:spacing w:val="-7"/>
          <w:sz w:val="32"/>
          <w:szCs w:val="32"/>
          <w:lang w:val="zh-CN" w:eastAsia="zh-CN"/>
        </w:rPr>
        <w:t>×</w:t>
      </w:r>
      <w:r>
        <w:rPr>
          <w:rFonts w:hint="eastAsia" w:ascii="方正仿宋_GBK" w:hAnsi="方正仿宋_GBK" w:eastAsia="方正仿宋_GBK" w:cs="方正仿宋_GBK"/>
          <w:spacing w:val="-7"/>
          <w:sz w:val="32"/>
          <w:szCs w:val="32"/>
          <w:lang w:val="en-US" w:eastAsia="zh-CN"/>
        </w:rPr>
        <w:t>3</w:t>
      </w:r>
      <w:r>
        <w:rPr>
          <w:rFonts w:hint="eastAsia" w:ascii="方正仿宋_GBK" w:hAnsi="方正仿宋_GBK" w:eastAsia="方正仿宋_GBK" w:cs="方正仿宋_GBK"/>
          <w:spacing w:val="-7"/>
          <w:sz w:val="32"/>
          <w:szCs w:val="32"/>
          <w:lang w:val="zh-CN" w:eastAsia="zh-CN"/>
        </w:rPr>
        <w:t>0%+∑项目</w:t>
      </w:r>
      <w:r>
        <w:rPr>
          <w:rFonts w:hint="eastAsia" w:ascii="方正仿宋_GBK" w:hAnsi="方正仿宋_GBK" w:eastAsia="方正仿宋_GBK" w:cs="方正仿宋_GBK"/>
          <w:spacing w:val="-7"/>
          <w:sz w:val="32"/>
          <w:szCs w:val="32"/>
          <w:lang w:val="en-US" w:eastAsia="zh-CN"/>
        </w:rPr>
        <w:t>2</w:t>
      </w:r>
      <w:r>
        <w:rPr>
          <w:rFonts w:hint="eastAsia" w:ascii="方正仿宋_GBK" w:hAnsi="方正仿宋_GBK" w:eastAsia="方正仿宋_GBK" w:cs="方正仿宋_GBK"/>
          <w:spacing w:val="-7"/>
          <w:sz w:val="32"/>
          <w:szCs w:val="32"/>
          <w:lang w:val="zh-CN" w:eastAsia="zh-CN"/>
        </w:rPr>
        <w:t>成绩×</w:t>
      </w:r>
      <w:r>
        <w:rPr>
          <w:rFonts w:hint="eastAsia" w:ascii="方正仿宋_GBK" w:hAnsi="方正仿宋_GBK" w:eastAsia="方正仿宋_GBK" w:cs="方正仿宋_GBK"/>
          <w:spacing w:val="-7"/>
          <w:sz w:val="32"/>
          <w:szCs w:val="32"/>
          <w:lang w:val="en-US" w:eastAsia="zh-CN"/>
        </w:rPr>
        <w:t>7</w:t>
      </w:r>
      <w:r>
        <w:rPr>
          <w:rFonts w:hint="eastAsia" w:ascii="方正仿宋_GBK" w:hAnsi="方正仿宋_GBK" w:eastAsia="方正仿宋_GBK" w:cs="方正仿宋_GBK"/>
          <w:spacing w:val="-7"/>
          <w:sz w:val="32"/>
          <w:szCs w:val="32"/>
          <w:lang w:val="zh-CN" w:eastAsia="zh-CN"/>
        </w:rPr>
        <w:t>0%。</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zh-CN" w:eastAsia="zh-CN"/>
        </w:rPr>
      </w:pPr>
      <w:r>
        <w:rPr>
          <w:rFonts w:hint="eastAsia" w:ascii="方正仿宋_GBK" w:hAnsi="方正仿宋_GBK" w:eastAsia="方正仿宋_GBK" w:cs="方正仿宋_GBK"/>
          <w:spacing w:val="-7"/>
          <w:sz w:val="32"/>
          <w:szCs w:val="32"/>
          <w:lang w:val="zh-CN" w:eastAsia="zh-CN"/>
        </w:rPr>
        <w:t>竞赛名次按竞赛成绩由高到低排列。成绩相同时，按操作总时间确定名次（用时短则排序在前）。</w:t>
      </w:r>
    </w:p>
    <w:p>
      <w:pPr>
        <w:spacing w:before="203" w:line="222" w:lineRule="auto"/>
        <w:ind w:left="604"/>
        <w:outlineLvl w:val="1"/>
        <w:rPr>
          <w:rFonts w:ascii="黑体" w:hAnsi="黑体" w:eastAsia="黑体" w:cs="黑体"/>
          <w:sz w:val="32"/>
          <w:szCs w:val="32"/>
        </w:rPr>
      </w:pPr>
      <w:r>
        <w:rPr>
          <w:rFonts w:ascii="黑体" w:hAnsi="黑体" w:eastAsia="黑体" w:cs="黑体"/>
          <w:b/>
          <w:bCs/>
          <w:spacing w:val="-15"/>
          <w:sz w:val="32"/>
          <w:szCs w:val="32"/>
        </w:rPr>
        <w:t>四、竞赛总体安排</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竞赛拟定于7月22日-23日举办，赛程2天。竞赛结束后，现场公布成绩。</w:t>
      </w:r>
    </w:p>
    <w:p>
      <w:pPr>
        <w:spacing w:before="198" w:line="227" w:lineRule="auto"/>
        <w:ind w:left="759"/>
        <w:rPr>
          <w:rFonts w:hint="eastAsia" w:ascii="楷体" w:hAnsi="楷体" w:eastAsia="楷体" w:cs="楷体"/>
          <w:b/>
          <w:bCs/>
          <w:spacing w:val="21"/>
          <w:sz w:val="31"/>
          <w:szCs w:val="31"/>
          <w:lang w:eastAsia="zh-CN"/>
        </w:rPr>
      </w:pPr>
      <w:r>
        <w:rPr>
          <w:rFonts w:hint="eastAsia" w:ascii="楷体" w:hAnsi="楷体" w:eastAsia="楷体" w:cs="楷体"/>
          <w:b/>
          <w:bCs/>
          <w:spacing w:val="21"/>
          <w:sz w:val="31"/>
          <w:szCs w:val="31"/>
        </w:rPr>
        <w:t>(一)</w:t>
      </w:r>
      <w:r>
        <w:rPr>
          <w:rFonts w:hint="eastAsia" w:ascii="楷体" w:hAnsi="楷体" w:eastAsia="楷体" w:cs="楷体"/>
          <w:b/>
          <w:bCs/>
          <w:spacing w:val="21"/>
          <w:sz w:val="31"/>
          <w:szCs w:val="31"/>
          <w:lang w:val="en-US" w:eastAsia="zh-CN"/>
        </w:rPr>
        <w:t>项目1：微机仿真（倒闸操作及缺陷处理）</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default"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时间：7月22日</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地点：国网山东省电力公司泰安供电公司西区集控站（泰安市龙潭路166号）安全实训室</w:t>
      </w:r>
      <w:r>
        <w:rPr>
          <w:rFonts w:hint="eastAsia" w:ascii="方正仿宋_GBK" w:hAnsi="方正仿宋_GBK" w:eastAsia="方正仿宋_GBK" w:cs="方正仿宋_GBK"/>
          <w:spacing w:val="-7"/>
          <w:sz w:val="32"/>
          <w:szCs w:val="32"/>
          <w:lang w:val="zh-CN" w:eastAsia="zh-CN"/>
        </w:rPr>
        <w:t>。</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微机仿真由竞赛办公室组织统一出题、统一阅卷。上机考试时间60分钟。</w:t>
      </w:r>
    </w:p>
    <w:p>
      <w:pPr>
        <w:spacing w:before="198" w:line="227" w:lineRule="auto"/>
        <w:ind w:left="759"/>
        <w:rPr>
          <w:rFonts w:hint="eastAsia" w:ascii="楷体" w:hAnsi="楷体" w:eastAsia="楷体" w:cs="楷体"/>
          <w:b/>
          <w:bCs/>
          <w:spacing w:val="21"/>
          <w:sz w:val="31"/>
          <w:szCs w:val="31"/>
        </w:rPr>
      </w:pPr>
      <w:r>
        <w:rPr>
          <w:rFonts w:hint="eastAsia" w:ascii="楷体" w:hAnsi="楷体" w:eastAsia="楷体" w:cs="楷体"/>
          <w:b/>
          <w:bCs/>
          <w:spacing w:val="21"/>
          <w:sz w:val="31"/>
          <w:szCs w:val="31"/>
        </w:rPr>
        <w:t>(二)</w:t>
      </w:r>
      <w:r>
        <w:rPr>
          <w:rFonts w:hint="eastAsia" w:ascii="楷体" w:hAnsi="楷体" w:eastAsia="楷体" w:cs="楷体"/>
          <w:b/>
          <w:bCs/>
          <w:spacing w:val="21"/>
          <w:sz w:val="31"/>
          <w:szCs w:val="31"/>
          <w:lang w:val="en-US" w:eastAsia="zh-CN"/>
        </w:rPr>
        <w:t>项目2：GIS特高频、超声波检测</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时间：7月23日</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zh-CN" w:eastAsia="zh-CN"/>
        </w:rPr>
      </w:pPr>
      <w:r>
        <w:rPr>
          <w:rFonts w:hint="eastAsia" w:ascii="方正仿宋_GBK" w:hAnsi="方正仿宋_GBK" w:eastAsia="方正仿宋_GBK" w:cs="方正仿宋_GBK"/>
          <w:spacing w:val="-7"/>
          <w:sz w:val="32"/>
          <w:szCs w:val="32"/>
          <w:lang w:val="en-US" w:eastAsia="zh-CN"/>
        </w:rPr>
        <w:t>地点：</w:t>
      </w:r>
      <w:r>
        <w:rPr>
          <w:rFonts w:hint="eastAsia" w:ascii="Times New Roman" w:hAnsi="Times New Roman" w:eastAsia="仿宋_GB2312"/>
          <w:sz w:val="32"/>
          <w:szCs w:val="32"/>
        </w:rPr>
        <w:t>国网山东省电力公司泰安供电公司西区集控站（泰安市龙潭路166号）</w:t>
      </w:r>
      <w:r>
        <w:rPr>
          <w:rFonts w:hint="eastAsia" w:ascii="方正仿宋_GBK" w:hAnsi="方正仿宋_GBK" w:eastAsia="方正仿宋_GBK" w:cs="方正仿宋_GBK"/>
          <w:spacing w:val="-7"/>
          <w:sz w:val="32"/>
          <w:szCs w:val="32"/>
          <w:lang w:val="en-US" w:eastAsia="zh-CN"/>
        </w:rPr>
        <w:t>安全实训室</w:t>
      </w:r>
      <w:r>
        <w:rPr>
          <w:rFonts w:hint="eastAsia" w:ascii="方正仿宋_GBK" w:hAnsi="方正仿宋_GBK" w:eastAsia="方正仿宋_GBK" w:cs="方正仿宋_GBK"/>
          <w:spacing w:val="-7"/>
          <w:sz w:val="32"/>
          <w:szCs w:val="32"/>
          <w:lang w:val="zh-CN" w:eastAsia="zh-CN"/>
        </w:rPr>
        <w:t>。</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通过局部放电模拟装置模拟沿面、悬浮、气隙、尖端四种局部放电类型，由选手利用带电检测仪对模拟放电信号进行检测进行判断，并在规定时间内完成放电类型的判断，编写检查分析报告。各参赛队伍抽签决定参赛顺序，两组共同进行。</w:t>
      </w:r>
    </w:p>
    <w:p>
      <w:pPr>
        <w:spacing w:before="198" w:line="227" w:lineRule="auto"/>
        <w:ind w:left="759"/>
        <w:rPr>
          <w:rFonts w:hint="eastAsia" w:ascii="楷体" w:hAnsi="楷体" w:eastAsia="楷体" w:cs="楷体"/>
          <w:b/>
          <w:bCs/>
          <w:spacing w:val="21"/>
          <w:sz w:val="31"/>
          <w:szCs w:val="31"/>
        </w:rPr>
      </w:pPr>
      <w:r>
        <w:rPr>
          <w:rFonts w:hint="eastAsia" w:ascii="楷体" w:hAnsi="楷体" w:eastAsia="楷体" w:cs="楷体"/>
          <w:b/>
          <w:bCs/>
          <w:spacing w:val="21"/>
          <w:sz w:val="31"/>
          <w:szCs w:val="31"/>
        </w:rPr>
        <w:t>(三)比赛流程</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由各参赛单位于7月22日前分别组织好本单位有关人员，通过集中培训、岗位自学等形式，组织开展全员培训。在认真开展全员培训和岗位练兵的基础上，选拔理论基础扎实、动手能力强、抗压能力和心理素质过硬的优秀员工参赛。具体时间安排如下：</w:t>
      </w:r>
    </w:p>
    <w:p>
      <w:pPr>
        <w:spacing w:line="19" w:lineRule="exact"/>
      </w:pPr>
    </w:p>
    <w:tbl>
      <w:tblPr>
        <w:tblStyle w:val="13"/>
        <w:tblW w:w="9225" w:type="dxa"/>
        <w:tblInd w:w="-1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1"/>
        <w:gridCol w:w="1737"/>
        <w:gridCol w:w="1304"/>
        <w:gridCol w:w="1885"/>
        <w:gridCol w:w="3398"/>
      </w:tblGrid>
      <w:tr>
        <w:tblPrEx>
          <w:tblLayout w:type="fixed"/>
        </w:tblPrEx>
        <w:trPr>
          <w:trHeight w:val="383" w:hRule="atLeast"/>
        </w:trPr>
        <w:tc>
          <w:tcPr>
            <w:tcW w:w="901" w:type="dxa"/>
            <w:vAlign w:val="top"/>
          </w:tcPr>
          <w:p>
            <w:pPr>
              <w:spacing w:before="72" w:line="219" w:lineRule="auto"/>
              <w:ind w:left="334"/>
              <w:jc w:val="both"/>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序号</w:t>
            </w:r>
          </w:p>
        </w:tc>
        <w:tc>
          <w:tcPr>
            <w:tcW w:w="1737" w:type="dxa"/>
            <w:vAlign w:val="top"/>
          </w:tcPr>
          <w:p>
            <w:pPr>
              <w:spacing w:before="72" w:line="219" w:lineRule="auto"/>
              <w:ind w:left="334"/>
              <w:jc w:val="both"/>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赛程内容</w:t>
            </w:r>
          </w:p>
        </w:tc>
        <w:tc>
          <w:tcPr>
            <w:tcW w:w="1304" w:type="dxa"/>
            <w:vAlign w:val="top"/>
          </w:tcPr>
          <w:p>
            <w:pPr>
              <w:spacing w:before="72" w:line="219" w:lineRule="auto"/>
              <w:ind w:left="334"/>
              <w:jc w:val="both"/>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日期</w:t>
            </w:r>
          </w:p>
        </w:tc>
        <w:tc>
          <w:tcPr>
            <w:tcW w:w="1885" w:type="dxa"/>
            <w:vAlign w:val="top"/>
          </w:tcPr>
          <w:p>
            <w:pPr>
              <w:spacing w:before="72" w:line="219" w:lineRule="auto"/>
              <w:ind w:left="334" w:firstLine="241" w:firstLineChars="100"/>
              <w:jc w:val="both"/>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时间</w:t>
            </w:r>
          </w:p>
        </w:tc>
        <w:tc>
          <w:tcPr>
            <w:tcW w:w="3398"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参加人员</w:t>
            </w:r>
          </w:p>
        </w:tc>
      </w:tr>
      <w:tr>
        <w:tblPrEx>
          <w:tblLayout w:type="fixed"/>
        </w:tblPrEx>
        <w:trPr>
          <w:trHeight w:val="379" w:hRule="atLeast"/>
        </w:trPr>
        <w:tc>
          <w:tcPr>
            <w:tcW w:w="90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1</w:t>
            </w:r>
          </w:p>
        </w:tc>
        <w:tc>
          <w:tcPr>
            <w:tcW w:w="1737"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领队协调会</w:t>
            </w:r>
          </w:p>
        </w:tc>
        <w:tc>
          <w:tcPr>
            <w:tcW w:w="1304"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7月22日</w:t>
            </w:r>
          </w:p>
        </w:tc>
        <w:tc>
          <w:tcPr>
            <w:tcW w:w="1885"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13:00-13:15</w:t>
            </w:r>
          </w:p>
        </w:tc>
        <w:tc>
          <w:tcPr>
            <w:tcW w:w="3398"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各参赛队领队</w:t>
            </w:r>
          </w:p>
        </w:tc>
      </w:tr>
      <w:tr>
        <w:tblPrEx>
          <w:tblLayout w:type="fixed"/>
        </w:tblPrEx>
        <w:trPr>
          <w:trHeight w:val="388" w:hRule="atLeast"/>
        </w:trPr>
        <w:tc>
          <w:tcPr>
            <w:tcW w:w="90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2</w:t>
            </w:r>
          </w:p>
        </w:tc>
        <w:tc>
          <w:tcPr>
            <w:tcW w:w="1737"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上机考试</w:t>
            </w:r>
          </w:p>
        </w:tc>
        <w:tc>
          <w:tcPr>
            <w:tcW w:w="1304"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7月22日</w:t>
            </w:r>
          </w:p>
        </w:tc>
        <w:tc>
          <w:tcPr>
            <w:tcW w:w="1885"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13:30-18:30</w:t>
            </w:r>
          </w:p>
        </w:tc>
        <w:tc>
          <w:tcPr>
            <w:tcW w:w="3398"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所有参赛选手</w:t>
            </w:r>
          </w:p>
        </w:tc>
      </w:tr>
      <w:tr>
        <w:tblPrEx>
          <w:tblLayout w:type="fixed"/>
        </w:tblPrEx>
        <w:trPr>
          <w:trHeight w:val="378" w:hRule="atLeast"/>
        </w:trPr>
        <w:tc>
          <w:tcPr>
            <w:tcW w:w="90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4</w:t>
            </w:r>
          </w:p>
        </w:tc>
        <w:tc>
          <w:tcPr>
            <w:tcW w:w="1737"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操作考试</w:t>
            </w:r>
          </w:p>
        </w:tc>
        <w:tc>
          <w:tcPr>
            <w:tcW w:w="1304"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7月23日</w:t>
            </w:r>
          </w:p>
        </w:tc>
        <w:tc>
          <w:tcPr>
            <w:tcW w:w="1885"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8:00-16:30</w:t>
            </w:r>
          </w:p>
        </w:tc>
        <w:tc>
          <w:tcPr>
            <w:tcW w:w="3398"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所有参赛选手</w:t>
            </w:r>
          </w:p>
        </w:tc>
      </w:tr>
      <w:tr>
        <w:tblPrEx>
          <w:tblLayout w:type="fixed"/>
        </w:tblPrEx>
        <w:trPr>
          <w:trHeight w:val="383" w:hRule="atLeast"/>
        </w:trPr>
        <w:tc>
          <w:tcPr>
            <w:tcW w:w="90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5</w:t>
            </w:r>
          </w:p>
        </w:tc>
        <w:tc>
          <w:tcPr>
            <w:tcW w:w="1737"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总结会</w:t>
            </w:r>
          </w:p>
        </w:tc>
        <w:tc>
          <w:tcPr>
            <w:tcW w:w="1304"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7月23日</w:t>
            </w:r>
          </w:p>
        </w:tc>
        <w:tc>
          <w:tcPr>
            <w:tcW w:w="1885"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17:00-18:00</w:t>
            </w:r>
          </w:p>
        </w:tc>
        <w:tc>
          <w:tcPr>
            <w:tcW w:w="3398"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各级领导，全体参赛人员</w:t>
            </w:r>
          </w:p>
        </w:tc>
      </w:tr>
    </w:tbl>
    <w:p>
      <w:pPr>
        <w:spacing w:before="70" w:line="219" w:lineRule="auto"/>
        <w:ind w:left="97"/>
        <w:rPr>
          <w:rFonts w:ascii="宋体" w:hAnsi="宋体" w:eastAsia="宋体" w:cs="宋体"/>
          <w:sz w:val="21"/>
          <w:szCs w:val="21"/>
        </w:rPr>
      </w:pPr>
      <w:r>
        <w:rPr>
          <w:rFonts w:ascii="宋体" w:hAnsi="宋体" w:eastAsia="宋体" w:cs="宋体"/>
          <w:b/>
          <w:bCs/>
          <w:spacing w:val="-3"/>
          <w:sz w:val="21"/>
          <w:szCs w:val="21"/>
        </w:rPr>
        <w:t>注：比赛时间安排以比赛通知为准，比赛时间可根据参赛人数另行调整。</w:t>
      </w:r>
    </w:p>
    <w:p>
      <w:pPr>
        <w:spacing w:before="331" w:line="222" w:lineRule="auto"/>
        <w:ind w:left="749"/>
        <w:outlineLvl w:val="1"/>
        <w:rPr>
          <w:rFonts w:ascii="黑体" w:hAnsi="黑体" w:eastAsia="黑体" w:cs="黑体"/>
          <w:sz w:val="32"/>
          <w:szCs w:val="32"/>
        </w:rPr>
      </w:pPr>
      <w:r>
        <w:rPr>
          <w:rFonts w:ascii="黑体" w:hAnsi="黑体" w:eastAsia="黑体" w:cs="黑体"/>
          <w:b/>
          <w:bCs/>
          <w:spacing w:val="-18"/>
          <w:sz w:val="32"/>
          <w:szCs w:val="32"/>
        </w:rPr>
        <w:t>五、竞赛准备</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(一)竞赛场地硬件设施</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竞赛组委会统一提供所需硬件设施，清单如表1所示。</w:t>
      </w:r>
    </w:p>
    <w:p>
      <w:pPr>
        <w:pStyle w:val="6"/>
        <w:spacing w:before="132" w:line="221" w:lineRule="auto"/>
        <w:ind w:left="2669"/>
        <w:rPr>
          <w:b/>
          <w:bCs/>
          <w:spacing w:val="-13"/>
          <w:sz w:val="28"/>
          <w:szCs w:val="28"/>
        </w:rPr>
      </w:pPr>
      <w:r>
        <w:rPr>
          <w:b/>
          <w:bCs/>
          <w:spacing w:val="-13"/>
          <w:sz w:val="28"/>
          <w:szCs w:val="28"/>
        </w:rPr>
        <w:t>表1竞赛工位硬件设施清单</w:t>
      </w:r>
    </w:p>
    <w:p>
      <w:pPr>
        <w:pStyle w:val="7"/>
      </w:pPr>
    </w:p>
    <w:p>
      <w:pPr>
        <w:spacing w:line="147" w:lineRule="exact"/>
      </w:pPr>
    </w:p>
    <w:tbl>
      <w:tblPr>
        <w:tblStyle w:val="13"/>
        <w:tblW w:w="8729" w:type="dxa"/>
        <w:tblInd w:w="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1"/>
        <w:gridCol w:w="2302"/>
        <w:gridCol w:w="2423"/>
        <w:gridCol w:w="1031"/>
        <w:gridCol w:w="2082"/>
      </w:tblGrid>
      <w:tr>
        <w:tblPrEx>
          <w:tblLayout w:type="fixed"/>
        </w:tblPrEx>
        <w:trPr>
          <w:trHeight w:val="423" w:hRule="atLeast"/>
        </w:trPr>
        <w:tc>
          <w:tcPr>
            <w:tcW w:w="891"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序号</w:t>
            </w:r>
          </w:p>
        </w:tc>
        <w:tc>
          <w:tcPr>
            <w:tcW w:w="2302"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硬件设施名称</w:t>
            </w:r>
          </w:p>
        </w:tc>
        <w:tc>
          <w:tcPr>
            <w:tcW w:w="2423"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规格/型号</w:t>
            </w:r>
          </w:p>
        </w:tc>
        <w:tc>
          <w:tcPr>
            <w:tcW w:w="1031"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单位</w:t>
            </w:r>
          </w:p>
        </w:tc>
        <w:tc>
          <w:tcPr>
            <w:tcW w:w="2082"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数量</w:t>
            </w:r>
          </w:p>
        </w:tc>
      </w:tr>
      <w:tr>
        <w:tblPrEx>
          <w:tblLayout w:type="fixed"/>
        </w:tblPrEx>
        <w:trPr>
          <w:trHeight w:val="299" w:hRule="atLeast"/>
        </w:trPr>
        <w:tc>
          <w:tcPr>
            <w:tcW w:w="89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1</w:t>
            </w:r>
          </w:p>
        </w:tc>
        <w:tc>
          <w:tcPr>
            <w:tcW w:w="230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en-US"/>
              </w:rPr>
              <w:t>GIS放电模拟装置</w:t>
            </w:r>
          </w:p>
        </w:tc>
        <w:tc>
          <w:tcPr>
            <w:tcW w:w="2423"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XD5936</w:t>
            </w:r>
          </w:p>
        </w:tc>
        <w:tc>
          <w:tcPr>
            <w:tcW w:w="103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2套</w:t>
            </w:r>
          </w:p>
        </w:tc>
        <w:tc>
          <w:tcPr>
            <w:tcW w:w="208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每个工位1套</w:t>
            </w:r>
          </w:p>
        </w:tc>
      </w:tr>
      <w:tr>
        <w:tblPrEx>
          <w:tblLayout w:type="fixed"/>
        </w:tblPrEx>
        <w:trPr>
          <w:trHeight w:val="414" w:hRule="atLeast"/>
        </w:trPr>
        <w:tc>
          <w:tcPr>
            <w:tcW w:w="89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2</w:t>
            </w:r>
          </w:p>
        </w:tc>
        <w:tc>
          <w:tcPr>
            <w:tcW w:w="230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带电检测仪器</w:t>
            </w:r>
          </w:p>
        </w:tc>
        <w:tc>
          <w:tcPr>
            <w:tcW w:w="2423"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华乘电气PDS-T95</w:t>
            </w:r>
          </w:p>
        </w:tc>
        <w:tc>
          <w:tcPr>
            <w:tcW w:w="1031"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2套</w:t>
            </w:r>
          </w:p>
        </w:tc>
        <w:tc>
          <w:tcPr>
            <w:tcW w:w="208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每个工位1套</w:t>
            </w:r>
          </w:p>
        </w:tc>
      </w:tr>
      <w:tr>
        <w:tblPrEx>
          <w:tblLayout w:type="fixed"/>
        </w:tblPrEx>
        <w:trPr>
          <w:trHeight w:val="299" w:hRule="atLeast"/>
        </w:trPr>
        <w:tc>
          <w:tcPr>
            <w:tcW w:w="89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3</w:t>
            </w:r>
          </w:p>
        </w:tc>
        <w:tc>
          <w:tcPr>
            <w:tcW w:w="230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工具箱</w:t>
            </w:r>
          </w:p>
        </w:tc>
        <w:tc>
          <w:tcPr>
            <w:tcW w:w="2423"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w:t>
            </w:r>
          </w:p>
        </w:tc>
        <w:tc>
          <w:tcPr>
            <w:tcW w:w="1031" w:type="dxa"/>
            <w:vAlign w:val="top"/>
          </w:tcPr>
          <w:p>
            <w:pPr>
              <w:spacing w:before="70" w:line="219" w:lineRule="auto"/>
              <w:ind w:left="200"/>
              <w:jc w:val="center"/>
              <w:rPr>
                <w:rFonts w:hint="default"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2套</w:t>
            </w:r>
          </w:p>
        </w:tc>
        <w:tc>
          <w:tcPr>
            <w:tcW w:w="208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每个工位1套</w:t>
            </w:r>
          </w:p>
        </w:tc>
      </w:tr>
    </w:tbl>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w:t>
      </w:r>
      <w:r>
        <w:rPr>
          <w:rFonts w:hint="eastAsia" w:ascii="楷体" w:hAnsi="楷体" w:eastAsia="楷体" w:cs="楷体"/>
          <w:b/>
          <w:bCs/>
          <w:spacing w:val="18"/>
          <w:sz w:val="31"/>
          <w:szCs w:val="31"/>
          <w:lang w:eastAsia="zh-CN"/>
        </w:rPr>
        <w:t>二</w:t>
      </w:r>
      <w:r>
        <w:rPr>
          <w:rFonts w:ascii="楷体" w:hAnsi="楷体" w:eastAsia="楷体" w:cs="楷体"/>
          <w:b/>
          <w:bCs/>
          <w:spacing w:val="18"/>
          <w:sz w:val="31"/>
          <w:szCs w:val="31"/>
        </w:rPr>
        <w:t>)选手需自备的防护装备</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参赛选手必须按照规定穿戴防护装备，防护装置需选手自备，如表2所示。</w:t>
      </w:r>
    </w:p>
    <w:p>
      <w:pPr>
        <w:pStyle w:val="6"/>
        <w:spacing w:before="78" w:line="222" w:lineRule="auto"/>
        <w:ind w:left="3028"/>
        <w:rPr>
          <w:sz w:val="24"/>
          <w:szCs w:val="24"/>
        </w:rPr>
      </w:pPr>
      <w:r>
        <w:rPr>
          <w:b/>
          <w:bCs/>
          <w:spacing w:val="-11"/>
          <w:sz w:val="24"/>
          <w:szCs w:val="24"/>
        </w:rPr>
        <w:t>表</w:t>
      </w:r>
      <w:r>
        <w:rPr>
          <w:rFonts w:hint="eastAsia"/>
          <w:b/>
          <w:bCs/>
          <w:spacing w:val="-11"/>
          <w:sz w:val="24"/>
          <w:szCs w:val="24"/>
          <w:lang w:val="en-US" w:eastAsia="zh-CN"/>
        </w:rPr>
        <w:t xml:space="preserve">2 </w:t>
      </w:r>
      <w:r>
        <w:rPr>
          <w:b/>
          <w:bCs/>
          <w:spacing w:val="-11"/>
          <w:sz w:val="24"/>
          <w:szCs w:val="24"/>
        </w:rPr>
        <w:t>选手自备防护装备</w:t>
      </w:r>
    </w:p>
    <w:p>
      <w:pPr>
        <w:spacing w:line="141" w:lineRule="exact"/>
      </w:pPr>
    </w:p>
    <w:tbl>
      <w:tblPr>
        <w:tblStyle w:val="13"/>
        <w:tblW w:w="83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82"/>
        <w:gridCol w:w="2736"/>
        <w:gridCol w:w="3021"/>
      </w:tblGrid>
      <w:tr>
        <w:tblPrEx>
          <w:tblLayout w:type="fixed"/>
        </w:tblPrEx>
        <w:trPr>
          <w:trHeight w:val="396" w:hRule="atLeast"/>
        </w:trPr>
        <w:tc>
          <w:tcPr>
            <w:tcW w:w="2582"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防护项目</w:t>
            </w:r>
          </w:p>
        </w:tc>
        <w:tc>
          <w:tcPr>
            <w:tcW w:w="2736"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图示</w:t>
            </w:r>
          </w:p>
        </w:tc>
        <w:tc>
          <w:tcPr>
            <w:tcW w:w="3021" w:type="dxa"/>
            <w:vAlign w:val="top"/>
          </w:tcPr>
          <w:p>
            <w:pPr>
              <w:spacing w:before="72" w:line="219" w:lineRule="auto"/>
              <w:jc w:val="center"/>
              <w:rPr>
                <w:rFonts w:hint="eastAsia" w:ascii="方正仿宋_GBK" w:hAnsi="方正仿宋_GBK" w:eastAsia="方正仿宋_GBK" w:cs="方正仿宋_GBK"/>
                <w:b/>
                <w:bCs/>
                <w:spacing w:val="-5"/>
                <w:sz w:val="25"/>
                <w:szCs w:val="25"/>
              </w:rPr>
            </w:pPr>
            <w:r>
              <w:rPr>
                <w:rFonts w:hint="eastAsia" w:ascii="方正仿宋_GBK" w:hAnsi="方正仿宋_GBK" w:eastAsia="方正仿宋_GBK" w:cs="方正仿宋_GBK"/>
                <w:b/>
                <w:bCs/>
                <w:spacing w:val="-5"/>
                <w:sz w:val="25"/>
                <w:szCs w:val="25"/>
              </w:rPr>
              <w:t>说明</w:t>
            </w:r>
          </w:p>
        </w:tc>
      </w:tr>
      <w:tr>
        <w:tblPrEx>
          <w:tblLayout w:type="fixed"/>
        </w:tblPrEx>
        <w:trPr>
          <w:trHeight w:val="1145" w:hRule="atLeast"/>
        </w:trPr>
        <w:tc>
          <w:tcPr>
            <w:tcW w:w="258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t>头部的防护</w:t>
            </w:r>
          </w:p>
        </w:tc>
        <w:tc>
          <w:tcPr>
            <w:tcW w:w="2736"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drawing>
                <wp:inline distT="0" distB="0" distL="0" distR="0">
                  <wp:extent cx="920750" cy="74866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6"/>
                          <a:stretch>
                            <a:fillRect/>
                          </a:stretch>
                        </pic:blipFill>
                        <pic:spPr>
                          <a:xfrm>
                            <a:off x="0" y="0"/>
                            <a:ext cx="920759" cy="749286"/>
                          </a:xfrm>
                          <a:prstGeom prst="rect">
                            <a:avLst/>
                          </a:prstGeom>
                        </pic:spPr>
                      </pic:pic>
                    </a:graphicData>
                  </a:graphic>
                </wp:inline>
              </w:drawing>
            </w:r>
          </w:p>
        </w:tc>
        <w:tc>
          <w:tcPr>
            <w:tcW w:w="302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t>防砸碰头、防砸伤</w:t>
            </w:r>
          </w:p>
        </w:tc>
      </w:tr>
      <w:tr>
        <w:tblPrEx>
          <w:tblLayout w:type="fixed"/>
        </w:tblPrEx>
        <w:trPr>
          <w:trHeight w:val="1536" w:hRule="atLeast"/>
        </w:trPr>
        <w:tc>
          <w:tcPr>
            <w:tcW w:w="258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t>身体的防护</w:t>
            </w:r>
          </w:p>
        </w:tc>
        <w:tc>
          <w:tcPr>
            <w:tcW w:w="2736"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drawing>
                <wp:inline distT="0" distB="0" distL="0" distR="0">
                  <wp:extent cx="749300" cy="109791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7"/>
                          <a:stretch>
                            <a:fillRect/>
                          </a:stretch>
                        </pic:blipFill>
                        <pic:spPr>
                          <a:xfrm>
                            <a:off x="0" y="0"/>
                            <a:ext cx="749302" cy="1098532"/>
                          </a:xfrm>
                          <a:prstGeom prst="rect">
                            <a:avLst/>
                          </a:prstGeom>
                        </pic:spPr>
                      </pic:pic>
                    </a:graphicData>
                  </a:graphic>
                </wp:inline>
              </w:drawing>
            </w:r>
          </w:p>
        </w:tc>
        <w:tc>
          <w:tcPr>
            <w:tcW w:w="302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t>1.必须是长裤</w:t>
            </w: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t>2.防护服必须紧身不松垮，达</w:t>
            </w: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t>到三紧要求</w:t>
            </w:r>
          </w:p>
        </w:tc>
      </w:tr>
      <w:tr>
        <w:tblPrEx>
          <w:tblLayout w:type="fixed"/>
        </w:tblPrEx>
        <w:trPr>
          <w:trHeight w:val="959" w:hRule="atLeast"/>
        </w:trPr>
        <w:tc>
          <w:tcPr>
            <w:tcW w:w="2582"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t>足部的防护</w:t>
            </w:r>
          </w:p>
        </w:tc>
        <w:tc>
          <w:tcPr>
            <w:tcW w:w="2736"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drawing>
                <wp:inline distT="0" distB="0" distL="0" distR="0">
                  <wp:extent cx="908050" cy="65341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8"/>
                          <a:stretch>
                            <a:fillRect/>
                          </a:stretch>
                        </pic:blipFill>
                        <pic:spPr>
                          <a:xfrm>
                            <a:off x="0" y="0"/>
                            <a:ext cx="908064" cy="654008"/>
                          </a:xfrm>
                          <a:prstGeom prst="rect">
                            <a:avLst/>
                          </a:prstGeom>
                        </pic:spPr>
                      </pic:pic>
                    </a:graphicData>
                  </a:graphic>
                </wp:inline>
              </w:drawing>
            </w:r>
          </w:p>
        </w:tc>
        <w:tc>
          <w:tcPr>
            <w:tcW w:w="3021"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en-US"/>
              </w:rPr>
            </w:pPr>
          </w:p>
          <w:p>
            <w:pPr>
              <w:spacing w:before="70" w:line="219" w:lineRule="auto"/>
              <w:ind w:left="200"/>
              <w:jc w:val="center"/>
              <w:rPr>
                <w:rFonts w:hint="eastAsia" w:ascii="方正仿宋_GBK" w:hAnsi="方正仿宋_GBK" w:eastAsia="方正仿宋_GBK" w:cs="方正仿宋_GBK"/>
                <w:spacing w:val="2"/>
                <w:sz w:val="25"/>
                <w:szCs w:val="25"/>
                <w:lang w:val="en-US" w:eastAsia="en-US"/>
              </w:rPr>
            </w:pPr>
            <w:r>
              <w:rPr>
                <w:rFonts w:hint="eastAsia" w:ascii="方正仿宋_GBK" w:hAnsi="方正仿宋_GBK" w:eastAsia="方正仿宋_GBK" w:cs="方正仿宋_GBK"/>
                <w:spacing w:val="2"/>
                <w:sz w:val="25"/>
                <w:szCs w:val="25"/>
                <w:lang w:val="en-US" w:eastAsia="en-US"/>
              </w:rPr>
              <w:t>防滑、防砸、防穿刺</w:t>
            </w:r>
          </w:p>
        </w:tc>
      </w:tr>
    </w:tbl>
    <w:p>
      <w:pPr>
        <w:spacing w:before="211" w:line="222" w:lineRule="auto"/>
        <w:ind w:left="609"/>
        <w:outlineLvl w:val="1"/>
        <w:rPr>
          <w:rFonts w:ascii="黑体" w:hAnsi="黑体" w:eastAsia="黑体" w:cs="黑体"/>
          <w:sz w:val="31"/>
          <w:szCs w:val="31"/>
        </w:rPr>
      </w:pPr>
      <w:r>
        <w:rPr>
          <w:rFonts w:ascii="黑体" w:hAnsi="黑体" w:eastAsia="黑体" w:cs="黑体"/>
          <w:b/>
          <w:bCs/>
          <w:spacing w:val="-17"/>
          <w:sz w:val="31"/>
          <w:szCs w:val="31"/>
        </w:rPr>
        <w:t>六、评判标准</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(一)评判标准的制订原则</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参照国家有关职业标准的相关标准、规范要求进行评判，全面评价参赛选手的职业能力，本着科学严谨、公正公平、可操作性强的原则制定评判标准。</w:t>
      </w:r>
    </w:p>
    <w:p>
      <w:pPr>
        <w:spacing w:before="194" w:line="223" w:lineRule="auto"/>
        <w:ind w:left="719"/>
        <w:rPr>
          <w:rFonts w:ascii="楷体" w:hAnsi="楷体" w:eastAsia="楷体" w:cs="楷体"/>
          <w:sz w:val="31"/>
          <w:szCs w:val="31"/>
        </w:rPr>
      </w:pPr>
      <w:r>
        <w:rPr>
          <w:rFonts w:ascii="楷体" w:hAnsi="楷体" w:eastAsia="楷体" w:cs="楷体"/>
          <w:b/>
          <w:bCs/>
          <w:spacing w:val="18"/>
          <w:sz w:val="31"/>
          <w:szCs w:val="31"/>
        </w:rPr>
        <w:t>(二)实际操作比赛评判细则</w:t>
      </w:r>
    </w:p>
    <w:p>
      <w:pPr>
        <w:pStyle w:val="6"/>
        <w:spacing w:before="101" w:line="334" w:lineRule="auto"/>
        <w:ind w:left="34" w:right="106" w:firstLine="599"/>
        <w:jc w:val="both"/>
        <w:rPr>
          <w:spacing w:val="-6"/>
          <w:sz w:val="31"/>
          <w:szCs w:val="31"/>
        </w:rPr>
      </w:pPr>
      <w:r>
        <w:rPr>
          <w:spacing w:val="-6"/>
          <w:sz w:val="31"/>
          <w:szCs w:val="31"/>
        </w:rPr>
        <w:t>如表</w:t>
      </w:r>
      <w:r>
        <w:rPr>
          <w:rFonts w:hint="eastAsia"/>
          <w:spacing w:val="-6"/>
          <w:sz w:val="31"/>
          <w:szCs w:val="31"/>
          <w:lang w:val="en-US" w:eastAsia="zh-CN"/>
        </w:rPr>
        <w:t>3</w:t>
      </w:r>
      <w:r>
        <w:rPr>
          <w:spacing w:val="-6"/>
          <w:sz w:val="31"/>
          <w:szCs w:val="31"/>
        </w:rPr>
        <w:t>所示。</w:t>
      </w:r>
    </w:p>
    <w:p>
      <w:pPr>
        <w:pStyle w:val="6"/>
        <w:spacing w:before="101" w:line="334" w:lineRule="auto"/>
        <w:ind w:left="34" w:right="106" w:firstLine="599"/>
        <w:jc w:val="both"/>
        <w:rPr>
          <w:rFonts w:hint="default"/>
          <w:lang w:val="en-US"/>
        </w:rPr>
        <w:sectPr>
          <w:footerReference r:id="rId4" w:type="default"/>
          <w:pgSz w:w="11900" w:h="16840"/>
          <w:pgMar w:top="1431" w:right="1464" w:bottom="1619" w:left="1785" w:header="0" w:footer="1439" w:gutter="0"/>
          <w:cols w:space="720" w:num="1"/>
        </w:sectPr>
      </w:pPr>
      <w:r>
        <w:rPr>
          <w:b/>
          <w:bCs/>
          <w:spacing w:val="-11"/>
          <w:sz w:val="24"/>
          <w:szCs w:val="24"/>
        </w:rPr>
        <w:t>表</w:t>
      </w:r>
      <w:r>
        <w:rPr>
          <w:rFonts w:hint="eastAsia"/>
          <w:b/>
          <w:bCs/>
          <w:spacing w:val="-11"/>
          <w:sz w:val="24"/>
          <w:szCs w:val="24"/>
          <w:lang w:val="en-US" w:eastAsia="zh-CN"/>
        </w:rPr>
        <w:t>3  GIS设备特高频及超声波局放检测评分细则</w:t>
      </w:r>
    </w:p>
    <w:tbl>
      <w:tblPr>
        <w:tblStyle w:val="12"/>
        <w:tblpPr w:leftFromText="180" w:rightFromText="180" w:vertAnchor="text" w:tblpXSpec="center" w:tblpY="-6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299"/>
        <w:gridCol w:w="3963"/>
        <w:gridCol w:w="825"/>
        <w:gridCol w:w="4227"/>
        <w:gridCol w:w="1125"/>
        <w:gridCol w:w="1384"/>
        <w:gridCol w:w="716"/>
      </w:tblGrid>
      <w:tr>
        <w:tblPrEx>
          <w:tblLayout w:type="fixed"/>
        </w:tblPrEx>
        <w:trPr>
          <w:trHeight w:val="551" w:hRule="atLeast"/>
        </w:trPr>
        <w:tc>
          <w:tcPr>
            <w:tcW w:w="14006" w:type="dxa"/>
            <w:gridSpan w:val="8"/>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GIS设备特高频及超声波局放检测评分细则</w:t>
            </w:r>
          </w:p>
        </w:tc>
      </w:tr>
      <w:tr>
        <w:tblPrEx>
          <w:tblLayout w:type="fixed"/>
        </w:tblPrEx>
        <w:trPr>
          <w:trHeight w:val="469" w:hRule="atLeast"/>
        </w:trPr>
        <w:tc>
          <w:tcPr>
            <w:tcW w:w="1766" w:type="dxa"/>
            <w:gridSpan w:val="2"/>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参赛队编号</w:t>
            </w:r>
          </w:p>
        </w:tc>
        <w:tc>
          <w:tcPr>
            <w:tcW w:w="4788" w:type="dxa"/>
            <w:gridSpan w:val="2"/>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b/>
                <w:kern w:val="2"/>
                <w:sz w:val="25"/>
                <w:szCs w:val="25"/>
                <w:lang w:eastAsia="zh-CN"/>
              </w:rPr>
            </w:pPr>
          </w:p>
        </w:tc>
        <w:tc>
          <w:tcPr>
            <w:tcW w:w="4227" w:type="dxa"/>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考试时间</w:t>
            </w:r>
          </w:p>
        </w:tc>
        <w:tc>
          <w:tcPr>
            <w:tcW w:w="3225" w:type="dxa"/>
            <w:gridSpan w:val="3"/>
            <w:vAlign w:val="center"/>
          </w:tcPr>
          <w:p>
            <w:pPr>
              <w:widowControl w:val="0"/>
              <w:kinsoku/>
              <w:autoSpaceDE/>
              <w:autoSpaceDN/>
              <w:adjustRightInd/>
              <w:snapToGrid/>
              <w:spacing w:line="300" w:lineRule="exact"/>
              <w:ind w:right="211"/>
              <w:jc w:val="right"/>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 xml:space="preserve"> 时  分</w:t>
            </w:r>
          </w:p>
        </w:tc>
      </w:tr>
      <w:tr>
        <w:tblPrEx>
          <w:tblLayout w:type="fixed"/>
        </w:tblPrEx>
        <w:trPr>
          <w:trHeight w:val="577" w:hRule="atLeast"/>
        </w:trPr>
        <w:tc>
          <w:tcPr>
            <w:tcW w:w="1766" w:type="dxa"/>
            <w:gridSpan w:val="2"/>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现场操作时间</w:t>
            </w:r>
          </w:p>
        </w:tc>
        <w:tc>
          <w:tcPr>
            <w:tcW w:w="4788" w:type="dxa"/>
            <w:gridSpan w:val="2"/>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起始：</w:t>
            </w:r>
          </w:p>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结束：</w:t>
            </w:r>
          </w:p>
        </w:tc>
        <w:tc>
          <w:tcPr>
            <w:tcW w:w="4227" w:type="dxa"/>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总分（100分）</w:t>
            </w:r>
          </w:p>
        </w:tc>
        <w:tc>
          <w:tcPr>
            <w:tcW w:w="3225" w:type="dxa"/>
            <w:gridSpan w:val="3"/>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90" w:hRule="atLeast"/>
        </w:trPr>
        <w:tc>
          <w:tcPr>
            <w:tcW w:w="467"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序号</w:t>
            </w:r>
          </w:p>
        </w:tc>
        <w:tc>
          <w:tcPr>
            <w:tcW w:w="1299"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0"/>
                <w:sz w:val="25"/>
                <w:szCs w:val="25"/>
                <w:lang w:eastAsia="zh-CN"/>
              </w:rPr>
            </w:pPr>
            <w:r>
              <w:rPr>
                <w:rFonts w:hint="eastAsia" w:ascii="方正仿宋_GBK" w:hAnsi="方正仿宋_GBK" w:eastAsia="方正仿宋_GBK" w:cs="方正仿宋_GBK"/>
                <w:b/>
                <w:kern w:val="0"/>
                <w:sz w:val="25"/>
                <w:szCs w:val="25"/>
                <w:lang w:eastAsia="zh-CN"/>
              </w:rPr>
              <w:t>操作项目</w:t>
            </w:r>
          </w:p>
        </w:tc>
        <w:tc>
          <w:tcPr>
            <w:tcW w:w="3963"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标准要求</w:t>
            </w:r>
          </w:p>
        </w:tc>
        <w:tc>
          <w:tcPr>
            <w:tcW w:w="8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满分</w:t>
            </w:r>
          </w:p>
        </w:tc>
        <w:tc>
          <w:tcPr>
            <w:tcW w:w="4227"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扣分标准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扣分情况</w:t>
            </w: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备注</w:t>
            </w:r>
          </w:p>
        </w:tc>
        <w:tc>
          <w:tcPr>
            <w:tcW w:w="716"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kern w:val="2"/>
                <w:sz w:val="25"/>
                <w:szCs w:val="25"/>
                <w:lang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90" w:hRule="atLeast"/>
        </w:trPr>
        <w:tc>
          <w:tcPr>
            <w:tcW w:w="467"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1</w:t>
            </w:r>
          </w:p>
        </w:tc>
        <w:tc>
          <w:tcPr>
            <w:tcW w:w="1299"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准备工作</w:t>
            </w:r>
          </w:p>
        </w:tc>
        <w:tc>
          <w:tcPr>
            <w:tcW w:w="3963" w:type="dxa"/>
            <w:vMerge w:val="restart"/>
            <w:vAlign w:val="center"/>
          </w:tcPr>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（1）绝缘鞋、安全帽、工作服穿戴符合要求。</w:t>
            </w:r>
          </w:p>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（2）仪器及工器具准备齐全无遗漏，摆放整齐，电量充足。</w:t>
            </w:r>
          </w:p>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（3）进行安全交底，风险辨识正确无遗漏、分工明确。</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（4）正确核对被试设备，检查外观、接地和SF6压力正常。</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（5）正确测试并记录环境温湿度。</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（6）主动询问设备运行工况。</w:t>
            </w:r>
          </w:p>
        </w:tc>
        <w:tc>
          <w:tcPr>
            <w:tcW w:w="825"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3分</w:t>
            </w:r>
          </w:p>
        </w:tc>
        <w:tc>
          <w:tcPr>
            <w:tcW w:w="4227" w:type="dxa"/>
            <w:vAlign w:val="center"/>
          </w:tcPr>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绝缘鞋、安全帽、工作服等任一项穿戴不符合要求扣0.5分。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highlight w:val="yellow"/>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41" w:hRule="atLeast"/>
        </w:trPr>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val="en-US" w:eastAsia="zh-CN"/>
              </w:rPr>
            </w:pPr>
            <w:r>
              <w:rPr>
                <w:rFonts w:hint="eastAsia" w:ascii="方正仿宋_GBK" w:hAnsi="方正仿宋_GBK" w:eastAsia="方正仿宋_GBK" w:cs="方正仿宋_GBK"/>
                <w:kern w:val="2"/>
                <w:sz w:val="25"/>
                <w:szCs w:val="25"/>
                <w:lang w:eastAsia="zh-CN"/>
              </w:rPr>
              <w:t>未检查仪器配件及电量、检验报告等扣0.5分。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highlight w:val="yellow"/>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35" w:hRule="atLeast"/>
        </w:trPr>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未进行安全交底、风险辨识、任务分工等扣0.5分。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highlight w:val="yellow"/>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49" w:hRule="atLeast"/>
        </w:trPr>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未检查外观、接地和SF</w:t>
            </w:r>
            <w:r>
              <w:rPr>
                <w:rFonts w:hint="eastAsia" w:ascii="方正仿宋_GBK" w:hAnsi="方正仿宋_GBK" w:eastAsia="方正仿宋_GBK" w:cs="方正仿宋_GBK"/>
                <w:kern w:val="2"/>
                <w:sz w:val="25"/>
                <w:szCs w:val="25"/>
                <w:vertAlign w:val="subscript"/>
                <w:lang w:eastAsia="zh-CN"/>
              </w:rPr>
              <w:t>6</w:t>
            </w:r>
            <w:r>
              <w:rPr>
                <w:rFonts w:hint="eastAsia" w:ascii="方正仿宋_GBK" w:hAnsi="方正仿宋_GBK" w:eastAsia="方正仿宋_GBK" w:cs="方正仿宋_GBK"/>
                <w:kern w:val="2"/>
                <w:sz w:val="25"/>
                <w:szCs w:val="25"/>
                <w:lang w:eastAsia="zh-CN"/>
              </w:rPr>
              <w:t>压力正常扣0.5分。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highlight w:val="yellow"/>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57" w:hRule="atLeast"/>
        </w:trPr>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未记录环境温湿度，或温湿度计未放在设备附近扣0.5分。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highlight w:val="yellow"/>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93" w:hRule="atLeast"/>
        </w:trPr>
        <w:tc>
          <w:tcPr>
            <w:tcW w:w="467" w:type="dxa"/>
            <w:vMerge w:val="continue"/>
            <w:tcBorders>
              <w:bottom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未询问设备运行工况扣0.5分。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highlight w:val="yellow"/>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733" w:hRule="atLeast"/>
        </w:trPr>
        <w:tc>
          <w:tcPr>
            <w:tcW w:w="467"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2</w:t>
            </w:r>
          </w:p>
        </w:tc>
        <w:tc>
          <w:tcPr>
            <w:tcW w:w="1299"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特高频-</w:t>
            </w:r>
          </w:p>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仪器设置</w:t>
            </w:r>
          </w:p>
        </w:tc>
        <w:tc>
          <w:tcPr>
            <w:tcW w:w="3963" w:type="dxa"/>
            <w:vMerge w:val="restart"/>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（1）正确连接仪器、传感器，并设置检测参数。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（2）检查确认仪器通信连接状况、同步状态等。</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（3）正确进行仪器功能自检。</w:t>
            </w:r>
          </w:p>
        </w:tc>
        <w:tc>
          <w:tcPr>
            <w:tcW w:w="825" w:type="dxa"/>
            <w:vMerge w:val="restart"/>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4分</w:t>
            </w: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量程设置不合理，下限高于-70dBm或上下限差值小于</w:t>
            </w:r>
            <w:r>
              <w:rPr>
                <w:rFonts w:hint="eastAsia" w:ascii="方正仿宋_GBK" w:hAnsi="方正仿宋_GBK" w:eastAsia="方正仿宋_GBK" w:cs="方正仿宋_GBK"/>
                <w:kern w:val="2"/>
                <w:sz w:val="25"/>
                <w:szCs w:val="25"/>
                <w:highlight w:val="none"/>
                <w:lang w:eastAsia="zh-CN"/>
              </w:rPr>
              <w:t>40dB</w:t>
            </w:r>
            <w:r>
              <w:rPr>
                <w:rFonts w:hint="eastAsia" w:ascii="方正仿宋_GBK" w:hAnsi="方正仿宋_GBK" w:eastAsia="方正仿宋_GBK" w:cs="方正仿宋_GBK"/>
                <w:kern w:val="2"/>
                <w:sz w:val="25"/>
                <w:szCs w:val="25"/>
                <w:lang w:eastAsia="zh-CN"/>
              </w:rPr>
              <w:t>扣</w:t>
            </w:r>
            <w:r>
              <w:rPr>
                <w:rFonts w:hint="eastAsia" w:ascii="方正仿宋_GBK" w:hAnsi="方正仿宋_GBK" w:eastAsia="方正仿宋_GBK" w:cs="方正仿宋_GBK"/>
                <w:kern w:val="2"/>
                <w:sz w:val="25"/>
                <w:szCs w:val="25"/>
                <w:lang w:val="en-US" w:eastAsia="zh-CN"/>
              </w:rPr>
              <w:t>2</w:t>
            </w:r>
            <w:r>
              <w:rPr>
                <w:rFonts w:hint="eastAsia" w:ascii="方正仿宋_GBK" w:hAnsi="方正仿宋_GBK" w:eastAsia="方正仿宋_GBK" w:cs="方正仿宋_GBK"/>
                <w:kern w:val="2"/>
                <w:sz w:val="25"/>
                <w:szCs w:val="25"/>
                <w:lang w:eastAsia="zh-CN"/>
              </w:rPr>
              <w:t>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highlight w:val="yellow"/>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69" w:hRule="atLeast"/>
        </w:trPr>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未连接同步信号发生器或仪器未设置为无线同步模式扣</w:t>
            </w:r>
            <w:r>
              <w:rPr>
                <w:rFonts w:hint="eastAsia" w:ascii="方正仿宋_GBK" w:hAnsi="方正仿宋_GBK" w:eastAsia="方正仿宋_GBK" w:cs="方正仿宋_GBK"/>
                <w:kern w:val="2"/>
                <w:sz w:val="25"/>
                <w:szCs w:val="25"/>
                <w:lang w:val="en-US" w:eastAsia="zh-CN"/>
              </w:rPr>
              <w:t>2</w:t>
            </w:r>
            <w:r>
              <w:rPr>
                <w:rFonts w:hint="eastAsia" w:ascii="方正仿宋_GBK" w:hAnsi="方正仿宋_GBK" w:eastAsia="方正仿宋_GBK" w:cs="方正仿宋_GBK"/>
                <w:kern w:val="2"/>
                <w:sz w:val="25"/>
                <w:szCs w:val="25"/>
                <w:lang w:eastAsia="zh-CN"/>
              </w:rPr>
              <w:t>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41"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特高频-</w:t>
            </w:r>
          </w:p>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背景检测</w:t>
            </w:r>
          </w:p>
        </w:tc>
        <w:tc>
          <w:tcPr>
            <w:tcW w:w="3963" w:type="dxa"/>
            <w:vMerge w:val="restart"/>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正确检测空间背景并记录。</w:t>
            </w:r>
          </w:p>
        </w:tc>
        <w:tc>
          <w:tcPr>
            <w:tcW w:w="825" w:type="dxa"/>
            <w:vMerge w:val="restart"/>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4分</w:t>
            </w:r>
          </w:p>
        </w:tc>
        <w:tc>
          <w:tcPr>
            <w:tcW w:w="4227" w:type="dxa"/>
            <w:vAlign w:val="center"/>
          </w:tcPr>
          <w:p>
            <w:pPr>
              <w:widowControl w:val="0"/>
              <w:kinsoku/>
              <w:autoSpaceDE/>
              <w:autoSpaceDN/>
              <w:adjustRightInd w:val="0"/>
              <w:snapToGrid w:val="0"/>
              <w:spacing w:line="240" w:lineRule="atLeast"/>
              <w:jc w:val="both"/>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背景检测应设置多个测点，总体检测方向应包含东南西北四个方向，每漏掉1个方向扣1分。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41"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tcBorders>
              <w:bottom w:val="single" w:color="000000" w:sz="4" w:space="0"/>
            </w:tcBorders>
            <w:vAlign w:val="center"/>
          </w:tcPr>
          <w:p>
            <w:pPr>
              <w:widowControl w:val="0"/>
              <w:kinsoku/>
              <w:autoSpaceDE/>
              <w:autoSpaceDN/>
              <w:adjustRightInd w:val="0"/>
              <w:snapToGrid w:val="0"/>
              <w:spacing w:line="240" w:lineRule="atLeast"/>
              <w:jc w:val="both"/>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val="en-US" w:eastAsia="zh-CN"/>
              </w:rPr>
              <w:t>全带宽下若背景信号较大，未</w:t>
            </w:r>
            <w:r>
              <w:rPr>
                <w:rFonts w:hint="eastAsia" w:ascii="方正仿宋_GBK" w:hAnsi="方正仿宋_GBK" w:eastAsia="方正仿宋_GBK" w:cs="方正仿宋_GBK"/>
                <w:kern w:val="2"/>
                <w:sz w:val="25"/>
                <w:szCs w:val="25"/>
                <w:lang w:eastAsia="zh-CN"/>
              </w:rPr>
              <w:t>查看背景信号频率成分</w:t>
            </w:r>
            <w:r>
              <w:rPr>
                <w:rFonts w:hint="eastAsia" w:ascii="方正仿宋_GBK" w:hAnsi="方正仿宋_GBK" w:eastAsia="方正仿宋_GBK" w:cs="方正仿宋_GBK"/>
                <w:kern w:val="2"/>
                <w:sz w:val="25"/>
                <w:szCs w:val="25"/>
                <w:lang w:val="en-US" w:eastAsia="zh-CN"/>
              </w:rPr>
              <w:t>扣1分</w:t>
            </w:r>
            <w:r>
              <w:rPr>
                <w:rFonts w:hint="eastAsia" w:ascii="方正仿宋_GBK" w:hAnsi="方正仿宋_GBK" w:eastAsia="方正仿宋_GBK" w:cs="方正仿宋_GBK"/>
                <w:kern w:val="2"/>
                <w:sz w:val="25"/>
                <w:szCs w:val="25"/>
                <w:lang w:eastAsia="zh-CN"/>
              </w:rPr>
              <w:t>，</w:t>
            </w:r>
            <w:r>
              <w:rPr>
                <w:rFonts w:hint="eastAsia" w:ascii="方正仿宋_GBK" w:hAnsi="方正仿宋_GBK" w:eastAsia="方正仿宋_GBK" w:cs="方正仿宋_GBK"/>
                <w:kern w:val="2"/>
                <w:sz w:val="25"/>
                <w:szCs w:val="25"/>
                <w:lang w:val="en-US" w:eastAsia="zh-CN"/>
              </w:rPr>
              <w:t>未对具有相位特征的信号查找方向扣1分。</w:t>
            </w:r>
          </w:p>
        </w:tc>
        <w:tc>
          <w:tcPr>
            <w:tcW w:w="1125" w:type="dxa"/>
            <w:tcBorders>
              <w:bottom w:val="single" w:color="000000"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tcBorders>
              <w:bottom w:val="single" w:color="000000"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63" w:hRule="atLeast"/>
        </w:trPr>
        <w:tc>
          <w:tcPr>
            <w:tcW w:w="467" w:type="dxa"/>
            <w:vMerge w:val="continue"/>
            <w:tcBorders>
              <w:bottom w:val="single" w:color="000000"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tcBorders>
              <w:bottom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tcBorders>
              <w:bottom w:val="single" w:color="000000"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bottom w:val="single" w:color="000000"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选择背景较小的频段检测设备，未选择背景较小频段扣2分。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tcBorders>
              <w:bottom w:val="single" w:color="000000"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39"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特高频-</w:t>
            </w:r>
          </w:p>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普测巡检</w:t>
            </w:r>
          </w:p>
        </w:tc>
        <w:tc>
          <w:tcPr>
            <w:tcW w:w="3963" w:type="dxa"/>
            <w:vMerge w:val="restart"/>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（1）正确选择测点，确保测点无遗漏。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（2）结合背景情况，正确采取屏蔽等防干扰措施。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（3）正确测试，每点测试时间不少于15s，待信号稳定后，观察信号特征，判断有无异常。</w:t>
            </w:r>
          </w:p>
        </w:tc>
        <w:tc>
          <w:tcPr>
            <w:tcW w:w="825" w:type="dxa"/>
            <w:vMerge w:val="restart"/>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10分</w:t>
            </w:r>
          </w:p>
        </w:tc>
        <w:tc>
          <w:tcPr>
            <w:tcW w:w="4227" w:type="dxa"/>
            <w:vAlign w:val="center"/>
          </w:tcPr>
          <w:p>
            <w:pPr>
              <w:widowControl w:val="0"/>
              <w:kinsoku/>
              <w:autoSpaceDE/>
              <w:autoSpaceDN/>
              <w:adjustRightInd w:val="0"/>
              <w:snapToGrid w:val="0"/>
              <w:spacing w:line="240" w:lineRule="atLeast"/>
              <w:jc w:val="both"/>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1号盆子、2号盆子均应检测，每漏测1处扣4分。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对</w:t>
            </w:r>
            <w:r>
              <w:rPr>
                <w:rFonts w:hint="eastAsia" w:ascii="方正仿宋_GBK" w:hAnsi="方正仿宋_GBK" w:eastAsia="方正仿宋_GBK" w:cs="方正仿宋_GBK"/>
                <w:kern w:val="2"/>
                <w:sz w:val="25"/>
                <w:szCs w:val="25"/>
                <w:lang w:val="en-US" w:eastAsia="zh-CN"/>
              </w:rPr>
              <w:t>1</w:t>
            </w:r>
            <w:r>
              <w:rPr>
                <w:rFonts w:hint="eastAsia" w:ascii="方正仿宋_GBK" w:hAnsi="方正仿宋_GBK" w:eastAsia="方正仿宋_GBK" w:cs="方正仿宋_GBK"/>
                <w:kern w:val="2"/>
                <w:sz w:val="25"/>
                <w:szCs w:val="25"/>
                <w:lang w:eastAsia="zh-CN"/>
              </w:rPr>
              <w:t>号盆子浇注口检测时，不使用高通模式扣2分。</w:t>
            </w:r>
            <w:r>
              <w:rPr>
                <w:rFonts w:hint="eastAsia" w:ascii="方正仿宋_GBK" w:hAnsi="方正仿宋_GBK" w:eastAsia="方正仿宋_GBK" w:cs="方正仿宋_GBK"/>
                <w:kern w:val="2"/>
                <w:sz w:val="25"/>
                <w:szCs w:val="25"/>
                <w:lang w:val="en-US" w:eastAsia="zh-CN"/>
              </w:rPr>
              <w:t xml:space="preserve">     </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每个测试部位测试时间少于15秒扣1分。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若检测到异常信号应与空气中背景进行比较，未与空气背景进行比较扣2分。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传感器未压紧放置或放置部位有禁锢螺栓扣1分。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81" w:hRule="atLeast"/>
        </w:trPr>
        <w:tc>
          <w:tcPr>
            <w:tcW w:w="467" w:type="dxa"/>
            <w:vMerge w:val="continue"/>
            <w:tcBorders>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特高频-</w:t>
            </w:r>
          </w:p>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异常复测</w:t>
            </w:r>
          </w:p>
        </w:tc>
        <w:tc>
          <w:tcPr>
            <w:tcW w:w="3963" w:type="dxa"/>
            <w:vMerge w:val="restart"/>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（1）判断信号异常后，延长测试时间（不少于30s）。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（2）观察信号特征，熟练使用仪器自带功能进行深入分析。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2"/>
                <w:sz w:val="25"/>
                <w:szCs w:val="25"/>
                <w:lang w:eastAsia="zh-CN"/>
              </w:rPr>
              <w:t>（3）每个测点保存3组图谱。</w:t>
            </w:r>
          </w:p>
        </w:tc>
        <w:tc>
          <w:tcPr>
            <w:tcW w:w="825" w:type="dxa"/>
            <w:vMerge w:val="restart"/>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12分</w:t>
            </w: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每个测试部位测试时间不够30s扣3分。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81" w:hRule="atLeast"/>
        </w:trPr>
        <w:tc>
          <w:tcPr>
            <w:tcW w:w="467" w:type="dxa"/>
            <w:vMerge w:val="continue"/>
            <w:tcBorders>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1号盆子复测时，未切换全通、低通、高通三种模式查看异常信号的幅值和特征变化扣3分。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81" w:hRule="atLeast"/>
        </w:trPr>
        <w:tc>
          <w:tcPr>
            <w:tcW w:w="467" w:type="dxa"/>
            <w:vMerge w:val="continue"/>
            <w:tcBorders>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2号盆子复测时，未切换全通、低通、高通三种模式查看异常信号的幅值和特征变化扣3分。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29" w:hRule="atLeast"/>
        </w:trPr>
        <w:tc>
          <w:tcPr>
            <w:tcW w:w="467" w:type="dxa"/>
            <w:vMerge w:val="continue"/>
            <w:tcBorders>
              <w:bottom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每个测点应保存3组图谱。每漏存1个测点的图谱扣3分；每个测点保存图谱不够3张扣2分。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58" w:hRule="atLeast"/>
        </w:trPr>
        <w:tc>
          <w:tcPr>
            <w:tcW w:w="467"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3</w:t>
            </w:r>
          </w:p>
        </w:tc>
        <w:tc>
          <w:tcPr>
            <w:tcW w:w="1299"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超声波-</w:t>
            </w:r>
          </w:p>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仪器设置</w:t>
            </w:r>
          </w:p>
        </w:tc>
        <w:tc>
          <w:tcPr>
            <w:tcW w:w="3963" w:type="dxa"/>
            <w:vMerge w:val="restart"/>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（1）正确连接仪器、传感器，并设置检测参数。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（2）检查确认仪器通道连接、同步状态等。</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（3）正确进行仪器功能自检（禁止直接敲击传感器）。</w:t>
            </w:r>
          </w:p>
        </w:tc>
        <w:tc>
          <w:tcPr>
            <w:tcW w:w="825" w:type="dxa"/>
            <w:vMerge w:val="restart"/>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4分</w:t>
            </w:r>
          </w:p>
        </w:tc>
        <w:tc>
          <w:tcPr>
            <w:tcW w:w="4227" w:type="dxa"/>
            <w:tcBorders>
              <w:top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未选择AE模式扣2分。</w:t>
            </w:r>
          </w:p>
        </w:tc>
        <w:tc>
          <w:tcPr>
            <w:tcW w:w="1125" w:type="dxa"/>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58"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检测频率设置不合理，下限频率高于</w:t>
            </w:r>
            <w:r>
              <w:rPr>
                <w:rFonts w:hint="eastAsia" w:ascii="方正仿宋_GBK" w:hAnsi="方正仿宋_GBK" w:eastAsia="方正仿宋_GBK" w:cs="方正仿宋_GBK"/>
                <w:kern w:val="2"/>
                <w:sz w:val="25"/>
                <w:szCs w:val="25"/>
                <w:highlight w:val="none"/>
                <w:lang w:eastAsia="zh-CN"/>
              </w:rPr>
              <w:t>20kHz</w:t>
            </w:r>
            <w:r>
              <w:rPr>
                <w:rFonts w:hint="eastAsia" w:ascii="方正仿宋_GBK" w:hAnsi="方正仿宋_GBK" w:eastAsia="方正仿宋_GBK" w:cs="方正仿宋_GBK"/>
                <w:kern w:val="2"/>
                <w:sz w:val="25"/>
                <w:szCs w:val="25"/>
                <w:lang w:eastAsia="zh-CN"/>
              </w:rPr>
              <w:t>扣1分。</w:t>
            </w:r>
          </w:p>
        </w:tc>
        <w:tc>
          <w:tcPr>
            <w:tcW w:w="1125" w:type="dxa"/>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58"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未连接同步信号发生器器或仪器未设置为无线同步模式扣1分。</w:t>
            </w:r>
          </w:p>
        </w:tc>
        <w:tc>
          <w:tcPr>
            <w:tcW w:w="1125" w:type="dxa"/>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1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未检查仪器连接工况扣2分，直接敲击传感器或通过敲击GIS外壳检查仪器扣1分。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96"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超声波-背景检测</w:t>
            </w:r>
          </w:p>
        </w:tc>
        <w:tc>
          <w:tcPr>
            <w:tcW w:w="3963"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正确检测空气背景并记录数值。</w:t>
            </w:r>
          </w:p>
        </w:tc>
        <w:tc>
          <w:tcPr>
            <w:tcW w:w="8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2分</w:t>
            </w: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未测量背景扣2分，未在设备附近测量扣1分。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tcBorders>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2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超声波-</w:t>
            </w:r>
          </w:p>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普测巡检</w:t>
            </w:r>
          </w:p>
        </w:tc>
        <w:tc>
          <w:tcPr>
            <w:tcW w:w="3963" w:type="dxa"/>
            <w:vMerge w:val="restart"/>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（1）正确选择测点，确保测点无遗漏。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（2）正确进行测点检测，并涂抹耦合剂。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（3）每点测试时间不少于15s，待信号稳定后，观察并记录信号幅值。</w:t>
            </w:r>
          </w:p>
        </w:tc>
        <w:tc>
          <w:tcPr>
            <w:tcW w:w="825" w:type="dxa"/>
            <w:vMerge w:val="restart"/>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10分</w:t>
            </w: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未在盆式绝缘子附近10cm范围内设置测点扣3分。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2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rPr>
            </w:pPr>
            <w:r>
              <w:rPr>
                <w:rFonts w:hint="eastAsia" w:ascii="方正仿宋_GBK" w:hAnsi="方正仿宋_GBK" w:eastAsia="方正仿宋_GBK" w:cs="方正仿宋_GBK"/>
                <w:kern w:val="2"/>
                <w:sz w:val="25"/>
                <w:szCs w:val="25"/>
                <w:lang w:val="en-US" w:eastAsia="zh-CN"/>
              </w:rPr>
              <w:t>未检查外壳材质直接使用磁吸扣1分。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2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rPr>
            </w:pPr>
            <w:r>
              <w:rPr>
                <w:rFonts w:hint="eastAsia" w:ascii="方正仿宋_GBK" w:hAnsi="方正仿宋_GBK" w:eastAsia="方正仿宋_GBK" w:cs="方正仿宋_GBK"/>
                <w:kern w:val="2"/>
                <w:sz w:val="25"/>
                <w:szCs w:val="25"/>
                <w:lang w:val="en-US" w:eastAsia="zh-CN"/>
              </w:rPr>
              <w:t>传感器放置时出现声响每次扣1分。</w:t>
            </w:r>
          </w:p>
        </w:tc>
        <w:tc>
          <w:tcPr>
            <w:tcW w:w="1125"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2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rPr>
            </w:pPr>
            <w:r>
              <w:rPr>
                <w:rFonts w:hint="eastAsia" w:ascii="方正仿宋_GBK" w:hAnsi="方正仿宋_GBK" w:eastAsia="方正仿宋_GBK" w:cs="方正仿宋_GBK"/>
                <w:kern w:val="2"/>
                <w:sz w:val="25"/>
                <w:szCs w:val="25"/>
                <w:lang w:eastAsia="zh-CN"/>
              </w:rPr>
              <w:t>测点少于4个扣2分。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2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tcBorders>
              <w:bottom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val="en-US" w:eastAsia="zh-CN"/>
              </w:rPr>
            </w:pPr>
            <w:r>
              <w:rPr>
                <w:rFonts w:hint="eastAsia" w:ascii="方正仿宋_GBK" w:hAnsi="方正仿宋_GBK" w:eastAsia="方正仿宋_GBK" w:cs="方正仿宋_GBK"/>
                <w:kern w:val="2"/>
                <w:sz w:val="25"/>
                <w:szCs w:val="25"/>
                <w:highlight w:val="none"/>
                <w:lang w:eastAsia="zh-CN"/>
              </w:rPr>
              <w:t>测点应位于罐体侧下方，测点位于罐体水平中线及以上，每个测点扣1分。</w:t>
            </w:r>
          </w:p>
        </w:tc>
        <w:tc>
          <w:tcPr>
            <w:tcW w:w="1125" w:type="dxa"/>
            <w:tcBorders>
              <w:bottom w:val="single" w:color="auto"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tcBorders>
              <w:bottom w:val="single" w:color="auto"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14" w:hRule="atLeast"/>
        </w:trPr>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测前未对检测部位清理扣2分。</w:t>
            </w:r>
          </w:p>
        </w:tc>
        <w:tc>
          <w:tcPr>
            <w:tcW w:w="1125" w:type="dxa"/>
            <w:tcBorders>
              <w:top w:val="single" w:color="auto"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96" w:hRule="atLeast"/>
        </w:trPr>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highlight w:val="none"/>
                <w:lang w:eastAsia="zh-CN"/>
              </w:rPr>
            </w:pPr>
            <w:r>
              <w:rPr>
                <w:rFonts w:hint="eastAsia" w:ascii="方正仿宋_GBK" w:hAnsi="方正仿宋_GBK" w:eastAsia="方正仿宋_GBK" w:cs="方正仿宋_GBK"/>
                <w:kern w:val="2"/>
                <w:sz w:val="25"/>
                <w:szCs w:val="25"/>
                <w:lang w:eastAsia="zh-CN"/>
              </w:rPr>
              <w:t>每个测点未涂抹耦合剂扣1分，每个测点的测试时间少于15s扣1分。存在未记录信号幅值的情况扣1分。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tcBorders>
              <w:bottom w:val="single" w:color="auto"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09" w:hRule="atLeast"/>
        </w:trPr>
        <w:tc>
          <w:tcPr>
            <w:tcW w:w="467"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正确选择测试模式，应选择连续模式检测，选择其他模式扣1分。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tcBorders>
              <w:top w:val="single" w:color="auto" w:sz="4" w:space="0"/>
            </w:tcBorders>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15" w:hRule="atLeast"/>
        </w:trPr>
        <w:tc>
          <w:tcPr>
            <w:tcW w:w="467" w:type="dxa"/>
            <w:vMerge w:val="continue"/>
            <w:tcBorders>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超声波-</w:t>
            </w:r>
          </w:p>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异常定位</w:t>
            </w:r>
          </w:p>
        </w:tc>
        <w:tc>
          <w:tcPr>
            <w:tcW w:w="3963" w:type="dxa"/>
            <w:vMerge w:val="restart"/>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（1）对信号最大位置进行准确的轴向定位。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（2）在轴向定位结果上进行圆周多点检测（至少5个点）。</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2"/>
                <w:sz w:val="25"/>
                <w:szCs w:val="25"/>
                <w:lang w:eastAsia="zh-CN"/>
              </w:rPr>
              <w:t>（3）在信号最大值处保存1组图谱。</w:t>
            </w:r>
          </w:p>
        </w:tc>
        <w:tc>
          <w:tcPr>
            <w:tcW w:w="825" w:type="dxa"/>
            <w:vMerge w:val="restart"/>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14分</w:t>
            </w:r>
          </w:p>
        </w:tc>
        <w:tc>
          <w:tcPr>
            <w:tcW w:w="4227" w:type="dxa"/>
            <w:vAlign w:val="center"/>
          </w:tcPr>
          <w:p>
            <w:pPr>
              <w:widowControl w:val="0"/>
              <w:kinsoku/>
              <w:autoSpaceDE/>
              <w:autoSpaceDN/>
              <w:adjustRightInd w:val="0"/>
              <w:snapToGrid w:val="0"/>
              <w:spacing w:line="240" w:lineRule="atLeast"/>
              <w:jc w:val="both"/>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先通过在普测幅值最大点附近小范围移动传感器，查找轴线上的幅值最大点。</w:t>
            </w:r>
            <w:r>
              <w:rPr>
                <w:rFonts w:hint="eastAsia" w:ascii="方正仿宋_GBK" w:hAnsi="方正仿宋_GBK" w:eastAsia="方正仿宋_GBK" w:cs="方正仿宋_GBK"/>
                <w:kern w:val="2"/>
                <w:sz w:val="25"/>
                <w:szCs w:val="25"/>
                <w:highlight w:val="none"/>
                <w:lang w:eastAsia="zh-CN"/>
              </w:rPr>
              <w:t>相邻两测点之间距离超过20cm扣2分，最大</w:t>
            </w:r>
            <w:r>
              <w:rPr>
                <w:rFonts w:hint="eastAsia" w:ascii="方正仿宋_GBK" w:hAnsi="方正仿宋_GBK" w:eastAsia="方正仿宋_GBK" w:cs="方正仿宋_GBK"/>
                <w:kern w:val="2"/>
                <w:sz w:val="25"/>
                <w:szCs w:val="25"/>
                <w:lang w:eastAsia="zh-CN"/>
              </w:rPr>
              <w:t>点判断不准确扣2分，每个测点的测试时间少于15s扣1分。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15" w:hRule="atLeast"/>
        </w:trPr>
        <w:tc>
          <w:tcPr>
            <w:tcW w:w="467" w:type="dxa"/>
            <w:vMerge w:val="continue"/>
            <w:tcBorders>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both"/>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轴线上幅值最大点确定后，在圆周上再增加4个及以上测试点（合计至少5个测点），以5为基准，测点数量每少1个扣2分，每个测点的测试时间少于15s扣1分。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15" w:hRule="atLeast"/>
        </w:trPr>
        <w:tc>
          <w:tcPr>
            <w:tcW w:w="467" w:type="dxa"/>
            <w:vMerge w:val="continue"/>
            <w:tcBorders>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both"/>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未在幅值最大点位置切换相位模式分析信号类型扣3分，测试时间少于30s扣2分。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98" w:hRule="atLeast"/>
        </w:trPr>
        <w:tc>
          <w:tcPr>
            <w:tcW w:w="467" w:type="dxa"/>
            <w:vMerge w:val="continue"/>
            <w:tcBorders>
              <w:bottom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未在信号最大值处保存图谱扣2分。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82" w:hRule="atLeast"/>
        </w:trPr>
        <w:tc>
          <w:tcPr>
            <w:tcW w:w="467" w:type="dxa"/>
            <w:vMerge w:val="continue"/>
            <w:tcBorders>
              <w:bottom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299"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4227" w:type="dxa"/>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未用尺子测量最大点的轴向位置扣2分。</w:t>
            </w:r>
          </w:p>
        </w:tc>
        <w:tc>
          <w:tcPr>
            <w:tcW w:w="1125"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val="0"/>
              <w:snapToGrid w:val="0"/>
              <w:spacing w:line="240" w:lineRule="atLeas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17" w:hRule="atLeast"/>
        </w:trPr>
        <w:tc>
          <w:tcPr>
            <w:tcW w:w="467"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4</w:t>
            </w:r>
          </w:p>
        </w:tc>
        <w:tc>
          <w:tcPr>
            <w:tcW w:w="1299"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结束测试</w:t>
            </w:r>
          </w:p>
        </w:tc>
        <w:tc>
          <w:tcPr>
            <w:tcW w:w="3963" w:type="dxa"/>
            <w:vMerge w:val="restart"/>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 xml:space="preserve">（1）整理现场，确保现场清洁无遗留。 </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（2）向裁判汇报工作结束。</w:t>
            </w:r>
          </w:p>
        </w:tc>
        <w:tc>
          <w:tcPr>
            <w:tcW w:w="825"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2分</w:t>
            </w:r>
          </w:p>
        </w:tc>
        <w:tc>
          <w:tcPr>
            <w:tcW w:w="4227" w:type="dxa"/>
            <w:tcBorders>
              <w:left w:val="single" w:color="auto" w:sz="4" w:space="0"/>
              <w:bottom w:val="single" w:color="auto" w:sz="4" w:space="0"/>
            </w:tcBorders>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kern w:val="2"/>
                <w:sz w:val="25"/>
                <w:szCs w:val="25"/>
                <w:lang w:val="en-US" w:eastAsia="zh-CN"/>
              </w:rPr>
            </w:pPr>
            <w:r>
              <w:rPr>
                <w:rFonts w:hint="eastAsia" w:ascii="方正仿宋_GBK" w:hAnsi="方正仿宋_GBK" w:eastAsia="方正仿宋_GBK" w:cs="方正仿宋_GBK"/>
                <w:kern w:val="2"/>
                <w:sz w:val="25"/>
                <w:szCs w:val="25"/>
                <w:lang w:eastAsia="zh-CN"/>
              </w:rPr>
              <w:t>现场遗留每处扣1分。</w:t>
            </w:r>
          </w:p>
        </w:tc>
        <w:tc>
          <w:tcPr>
            <w:tcW w:w="1125" w:type="dxa"/>
            <w:tcBorders>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val="en-US" w:eastAsia="zh-CN"/>
              </w:rPr>
            </w:pPr>
          </w:p>
        </w:tc>
        <w:tc>
          <w:tcPr>
            <w:tcW w:w="1384"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17"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left w:val="single" w:color="auto" w:sz="4" w:space="0"/>
              <w:bottom w:val="single" w:color="auto" w:sz="4" w:space="0"/>
            </w:tcBorders>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kern w:val="2"/>
                <w:sz w:val="25"/>
                <w:szCs w:val="25"/>
                <w:lang w:val="en-US" w:eastAsia="zh-CN" w:bidi="ar-SA"/>
              </w:rPr>
            </w:pPr>
            <w:r>
              <w:rPr>
                <w:rFonts w:hint="eastAsia" w:ascii="方正仿宋_GBK" w:hAnsi="方正仿宋_GBK" w:eastAsia="方正仿宋_GBK" w:cs="方正仿宋_GBK"/>
                <w:kern w:val="2"/>
                <w:sz w:val="25"/>
                <w:szCs w:val="25"/>
                <w:lang w:eastAsia="zh-CN"/>
              </w:rPr>
              <w:t>未报竣工扣2分</w:t>
            </w:r>
          </w:p>
        </w:tc>
        <w:tc>
          <w:tcPr>
            <w:tcW w:w="1125" w:type="dxa"/>
            <w:tcBorders>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50" w:hRule="atLeast"/>
        </w:trPr>
        <w:tc>
          <w:tcPr>
            <w:tcW w:w="467" w:type="dxa"/>
            <w:vMerge w:val="restart"/>
            <w:tcBorders>
              <w:top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5</w:t>
            </w:r>
          </w:p>
        </w:tc>
        <w:tc>
          <w:tcPr>
            <w:tcW w:w="1299"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报告完整性</w:t>
            </w:r>
          </w:p>
        </w:tc>
        <w:tc>
          <w:tcPr>
            <w:tcW w:w="3963" w:type="dxa"/>
            <w:vMerge w:val="restart"/>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（1）报告整洁、逻辑清晰、语言得体、图表清晰。</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（2）报告内容</w:t>
            </w:r>
            <w:r>
              <w:rPr>
                <w:rFonts w:hint="eastAsia" w:ascii="方正仿宋_GBK" w:hAnsi="方正仿宋_GBK" w:eastAsia="方正仿宋_GBK" w:cs="方正仿宋_GBK"/>
                <w:bCs/>
                <w:kern w:val="2"/>
                <w:sz w:val="25"/>
                <w:szCs w:val="25"/>
                <w:lang w:eastAsia="zh-CN"/>
              </w:rPr>
              <w:t>正确记录测试时间、环境温湿度、检测仪器、被测对象、报告出具时间。</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bCs/>
                <w:kern w:val="2"/>
                <w:sz w:val="25"/>
                <w:szCs w:val="25"/>
                <w:lang w:eastAsia="zh-CN"/>
              </w:rPr>
              <w:t>（3）特高频背景干扰辨识及分析说明。</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bCs/>
                <w:kern w:val="2"/>
                <w:sz w:val="25"/>
                <w:szCs w:val="25"/>
                <w:lang w:eastAsia="zh-CN"/>
              </w:rPr>
            </w:pPr>
            <w:r>
              <w:rPr>
                <w:rFonts w:hint="eastAsia" w:ascii="方正仿宋_GBK" w:hAnsi="方正仿宋_GBK" w:eastAsia="方正仿宋_GBK" w:cs="方正仿宋_GBK"/>
                <w:kern w:val="2"/>
                <w:sz w:val="25"/>
                <w:szCs w:val="25"/>
                <w:lang w:eastAsia="zh-CN"/>
              </w:rPr>
              <w:t>（4）</w:t>
            </w:r>
            <w:r>
              <w:rPr>
                <w:rFonts w:hint="eastAsia" w:ascii="方正仿宋_GBK" w:hAnsi="方正仿宋_GBK" w:eastAsia="方正仿宋_GBK" w:cs="方正仿宋_GBK"/>
                <w:bCs/>
                <w:kern w:val="2"/>
                <w:sz w:val="25"/>
                <w:szCs w:val="25"/>
                <w:lang w:eastAsia="zh-CN"/>
              </w:rPr>
              <w:t>正确给出特高频缺陷判别依据。</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bCs/>
                <w:kern w:val="2"/>
                <w:sz w:val="25"/>
                <w:szCs w:val="25"/>
                <w:lang w:eastAsia="zh-CN"/>
              </w:rPr>
            </w:pPr>
            <w:r>
              <w:rPr>
                <w:rFonts w:hint="eastAsia" w:ascii="方正仿宋_GBK" w:hAnsi="方正仿宋_GBK" w:eastAsia="方正仿宋_GBK" w:cs="方正仿宋_GBK"/>
                <w:bCs/>
                <w:kern w:val="2"/>
                <w:sz w:val="25"/>
                <w:szCs w:val="25"/>
                <w:lang w:eastAsia="zh-CN"/>
              </w:rPr>
              <w:t>（5）正确给出超声波定位缺陷位置（以轴向定位结果为定位评分标准）。</w:t>
            </w:r>
          </w:p>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（6）正确给出检测结论。</w:t>
            </w:r>
          </w:p>
        </w:tc>
        <w:tc>
          <w:tcPr>
            <w:tcW w:w="825" w:type="dxa"/>
            <w:vMerge w:val="restart"/>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35分</w:t>
            </w: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（1）基本信息、设备铭牌、仪器型号三部分信息应完整，存在信息缺失的每部分扣1分。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restart"/>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5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（2）特高频背景干扰分析识别应有充分的依据，缺少对应的背景图谱或图谱与分析内容不对应扣1</w:t>
            </w:r>
            <w:r>
              <w:rPr>
                <w:rFonts w:hint="eastAsia" w:ascii="方正仿宋_GBK" w:hAnsi="方正仿宋_GBK" w:eastAsia="方正仿宋_GBK" w:cs="方正仿宋_GBK"/>
                <w:kern w:val="2"/>
                <w:sz w:val="25"/>
                <w:szCs w:val="25"/>
                <w:highlight w:val="none"/>
                <w:lang w:eastAsia="zh-CN"/>
              </w:rPr>
              <w:t>分，图谱标识不明确扣1分。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5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（3）应分别分析1号盆子和2号盆子的特高频信号特征，每少分析1处盆子特征扣3分。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5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（4）每处盆子上测得的所有类型的特高频信号均需进行分析，每少一类信号分析扣1分，</w:t>
            </w:r>
            <w:r>
              <w:rPr>
                <w:rFonts w:hint="eastAsia" w:ascii="方正仿宋_GBK" w:hAnsi="方正仿宋_GBK" w:eastAsia="方正仿宋_GBK" w:cs="方正仿宋_GBK"/>
                <w:kern w:val="2"/>
                <w:sz w:val="25"/>
                <w:szCs w:val="25"/>
                <w:highlight w:val="none"/>
                <w:lang w:eastAsia="zh-CN"/>
              </w:rPr>
              <w:t>未与空间背景进行比较扣1分。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6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（5）若GIS内部存在异常信号，异常信号的PRPS和PRPD图谱特征均需进行分析，缺少一种图谱分析扣3分，分析内容应包括脉冲数量、幅值变化、相位分布特征三个方面，每缺少一个方面的内容扣1分。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9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（6）若GIS内部存在异常信号，通过特高频信号判断内部异常信号缺陷类型，判断不准确扣3分。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9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（7）未说明能否通过特高频幅值法定位扣1分。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13"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（8）超声测试点标注不准确，每处扣1分。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907"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（9）超声波信号报告应保存超声最大值处连续模式及相位模式图谱，每少1种图谱扣1分。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47"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（10）超声波定位结果不准确（缺陷实际轴向位置±10cm范围内为合格）扣3分。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17"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（11）应分别描述超声信号最大处连续模式和相位模式图谱特征，缺少一种图谱描述扣1分，在未判断存在金属颗粒缺陷的情况下使用飞行模式图谱扣1分。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930"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（12）通过超声信号判断缺陷类型，不准确扣3分。</w:t>
            </w:r>
          </w:p>
        </w:tc>
        <w:tc>
          <w:tcPr>
            <w:tcW w:w="1125" w:type="dxa"/>
            <w:tcBorders>
              <w:top w:val="single" w:color="auto" w:sz="4" w:space="0"/>
              <w:left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71" w:hRule="atLeast"/>
        </w:trPr>
        <w:tc>
          <w:tcPr>
            <w:tcW w:w="467"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p>
        </w:tc>
        <w:tc>
          <w:tcPr>
            <w:tcW w:w="1299"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p>
        </w:tc>
        <w:tc>
          <w:tcPr>
            <w:tcW w:w="3963" w:type="dxa"/>
            <w:vMerge w:val="continue"/>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825" w:type="dxa"/>
            <w:vMerge w:val="continue"/>
            <w:tcBorders>
              <w:right w:val="single" w:color="auto" w:sz="4" w:space="0"/>
            </w:tcBorders>
            <w:vAlign w:val="center"/>
          </w:tcPr>
          <w:p>
            <w:pPr>
              <w:widowControl/>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4227" w:type="dxa"/>
            <w:tcBorders>
              <w:top w:val="single" w:color="auto" w:sz="4" w:space="0"/>
              <w:left w:val="single" w:color="auto" w:sz="4" w:space="0"/>
            </w:tcBorders>
            <w:vAlign w:val="center"/>
          </w:tcPr>
          <w:p>
            <w:pPr>
              <w:widowControl w:val="0"/>
              <w:kinsoku/>
              <w:autoSpaceDE/>
              <w:autoSpaceDN/>
              <w:adjustRightInd/>
              <w:snapToGrid/>
              <w:spacing w:line="300" w:lineRule="exac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w:t>
            </w:r>
            <w:r>
              <w:rPr>
                <w:rFonts w:hint="eastAsia" w:ascii="方正仿宋_GBK" w:hAnsi="方正仿宋_GBK" w:eastAsia="方正仿宋_GBK" w:cs="方正仿宋_GBK"/>
                <w:kern w:val="2"/>
                <w:sz w:val="25"/>
                <w:szCs w:val="25"/>
                <w:lang w:val="en-US" w:eastAsia="zh-CN"/>
              </w:rPr>
              <w:t>3</w:t>
            </w:r>
            <w:r>
              <w:rPr>
                <w:rFonts w:hint="eastAsia" w:ascii="方正仿宋_GBK" w:hAnsi="方正仿宋_GBK" w:eastAsia="方正仿宋_GBK" w:cs="方正仿宋_GBK"/>
                <w:kern w:val="2"/>
                <w:sz w:val="25"/>
                <w:szCs w:val="25"/>
                <w:lang w:eastAsia="zh-CN"/>
              </w:rPr>
              <w:t>）</w:t>
            </w:r>
            <w:r>
              <w:rPr>
                <w:rFonts w:hint="eastAsia" w:ascii="方正仿宋_GBK" w:hAnsi="方正仿宋_GBK" w:eastAsia="方正仿宋_GBK" w:cs="方正仿宋_GBK"/>
                <w:kern w:val="2"/>
                <w:sz w:val="25"/>
                <w:szCs w:val="25"/>
                <w:highlight w:val="none"/>
                <w:lang w:eastAsia="zh-CN"/>
              </w:rPr>
              <w:t>结论未联合特高频及超声波结果综合下结论扣1分，未给出正确的放电类型扣1分，未给出准确的放电位置扣1分，下一步建议不合理扣1分。</w:t>
            </w:r>
          </w:p>
        </w:tc>
        <w:tc>
          <w:tcPr>
            <w:tcW w:w="1125" w:type="dxa"/>
            <w:tcBorders>
              <w:top w:val="single" w:color="auto" w:sz="4" w:space="0"/>
              <w:left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tcBorders>
              <w:top w:val="single" w:color="auto" w:sz="4" w:space="0"/>
              <w:bottom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Merge w:val="continue"/>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467"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2"/>
                <w:sz w:val="25"/>
                <w:szCs w:val="25"/>
                <w:lang w:eastAsia="zh-CN"/>
              </w:rPr>
            </w:pPr>
            <w:r>
              <w:rPr>
                <w:rFonts w:hint="eastAsia" w:ascii="方正仿宋_GBK" w:hAnsi="方正仿宋_GBK" w:eastAsia="方正仿宋_GBK" w:cs="方正仿宋_GBK"/>
                <w:b/>
                <w:kern w:val="2"/>
                <w:sz w:val="25"/>
                <w:szCs w:val="25"/>
                <w:lang w:eastAsia="zh-CN"/>
              </w:rPr>
              <w:t>6</w:t>
            </w:r>
          </w:p>
        </w:tc>
        <w:tc>
          <w:tcPr>
            <w:tcW w:w="1299"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0"/>
                <w:sz w:val="25"/>
                <w:szCs w:val="25"/>
                <w:lang w:eastAsia="zh-CN"/>
              </w:rPr>
            </w:pPr>
            <w:r>
              <w:rPr>
                <w:rFonts w:hint="eastAsia" w:ascii="方正仿宋_GBK" w:hAnsi="方正仿宋_GBK" w:eastAsia="方正仿宋_GBK" w:cs="方正仿宋_GBK"/>
                <w:kern w:val="0"/>
                <w:sz w:val="25"/>
                <w:szCs w:val="25"/>
                <w:lang w:eastAsia="zh-CN"/>
              </w:rPr>
              <w:t>附加扣分项</w:t>
            </w:r>
          </w:p>
        </w:tc>
        <w:tc>
          <w:tcPr>
            <w:tcW w:w="3963" w:type="dxa"/>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（1）选手比赛中应服从比赛秩序，动作规范熟练，步骤合理有序、呼唱洪亮清晰、爱护仪器工器具。</w:t>
            </w:r>
          </w:p>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（2）对于发生磕碰、摔落，不服从比赛秩序，有危险动作等视情况扣分。</w:t>
            </w:r>
          </w:p>
        </w:tc>
        <w:tc>
          <w:tcPr>
            <w:tcW w:w="825" w:type="dxa"/>
            <w:tcBorders>
              <w:righ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4227" w:type="dxa"/>
            <w:tcBorders>
              <w:left w:val="single" w:color="auto" w:sz="4" w:space="0"/>
            </w:tcBorders>
            <w:vAlign w:val="center"/>
          </w:tcPr>
          <w:p>
            <w:pPr>
              <w:widowControl w:val="0"/>
              <w:kinsoku/>
              <w:autoSpaceDE/>
              <w:autoSpaceDN/>
              <w:adjustRightInd w:val="0"/>
              <w:snapToGrid w:val="0"/>
              <w:spacing w:line="240" w:lineRule="atLeast"/>
              <w:jc w:val="left"/>
              <w:textAlignment w:val="auto"/>
              <w:rPr>
                <w:rFonts w:hint="eastAsia" w:ascii="方正仿宋_GBK" w:hAnsi="方正仿宋_GBK" w:eastAsia="方正仿宋_GBK" w:cs="方正仿宋_GBK"/>
                <w:kern w:val="2"/>
                <w:sz w:val="25"/>
                <w:szCs w:val="25"/>
                <w:lang w:eastAsia="zh-CN"/>
              </w:rPr>
            </w:pPr>
          </w:p>
        </w:tc>
        <w:tc>
          <w:tcPr>
            <w:tcW w:w="1125" w:type="dxa"/>
            <w:tcBorders>
              <w:left w:val="single" w:color="auto" w:sz="4" w:space="0"/>
            </w:tcBorders>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1384"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c>
          <w:tcPr>
            <w:tcW w:w="716" w:type="dxa"/>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1766" w:type="dxa"/>
            <w:gridSpan w:val="2"/>
            <w:vAlign w:val="center"/>
          </w:tcPr>
          <w:p>
            <w:pPr>
              <w:widowControl w:val="0"/>
              <w:kinsoku/>
              <w:autoSpaceDE/>
              <w:autoSpaceDN/>
              <w:adjustRightInd/>
              <w:snapToGrid/>
              <w:spacing w:line="300" w:lineRule="exact"/>
              <w:jc w:val="center"/>
              <w:textAlignment w:val="auto"/>
              <w:rPr>
                <w:rFonts w:hint="eastAsia" w:ascii="方正仿宋_GBK" w:hAnsi="方正仿宋_GBK" w:eastAsia="方正仿宋_GBK" w:cs="方正仿宋_GBK"/>
                <w:b/>
                <w:kern w:val="0"/>
                <w:sz w:val="25"/>
                <w:szCs w:val="25"/>
                <w:lang w:eastAsia="zh-CN"/>
              </w:rPr>
            </w:pPr>
            <w:r>
              <w:rPr>
                <w:rFonts w:hint="eastAsia" w:ascii="方正仿宋_GBK" w:hAnsi="方正仿宋_GBK" w:eastAsia="方正仿宋_GBK" w:cs="方正仿宋_GBK"/>
                <w:b/>
                <w:kern w:val="0"/>
                <w:sz w:val="25"/>
                <w:szCs w:val="25"/>
                <w:lang w:eastAsia="zh-CN"/>
              </w:rPr>
              <w:t>情况说明</w:t>
            </w:r>
          </w:p>
        </w:tc>
        <w:tc>
          <w:tcPr>
            <w:tcW w:w="12240" w:type="dxa"/>
            <w:gridSpan w:val="6"/>
            <w:vAlign w:val="center"/>
          </w:tcPr>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（1）每个工序分数均扣完为止，不计负分。</w:t>
            </w:r>
          </w:p>
          <w:p>
            <w:pPr>
              <w:widowControl w:val="0"/>
              <w:kinsoku/>
              <w:autoSpaceDE/>
              <w:autoSpaceDN/>
              <w:adjustRightInd/>
              <w:snapToGrid/>
              <w:spacing w:line="300" w:lineRule="exact"/>
              <w:jc w:val="both"/>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kern w:val="2"/>
                <w:sz w:val="25"/>
                <w:szCs w:val="25"/>
                <w:lang w:eastAsia="zh-CN"/>
              </w:rPr>
              <w:t>（</w:t>
            </w:r>
            <w:r>
              <w:rPr>
                <w:rFonts w:hint="eastAsia" w:ascii="方正仿宋_GBK" w:hAnsi="方正仿宋_GBK" w:eastAsia="方正仿宋_GBK" w:cs="方正仿宋_GBK"/>
                <w:kern w:val="2"/>
                <w:sz w:val="25"/>
                <w:szCs w:val="25"/>
                <w:lang w:val="en-US" w:eastAsia="zh-CN"/>
              </w:rPr>
              <w:t>2</w:t>
            </w:r>
            <w:r>
              <w:rPr>
                <w:rFonts w:hint="eastAsia" w:ascii="方正仿宋_GBK" w:hAnsi="方正仿宋_GBK" w:eastAsia="方正仿宋_GBK" w:cs="方正仿宋_GBK"/>
                <w:kern w:val="2"/>
                <w:sz w:val="25"/>
                <w:szCs w:val="25"/>
                <w:lang w:eastAsia="zh-CN"/>
              </w:rPr>
              <w:t>）报告提交纸质版，签字确认。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725" w:hRule="atLeast"/>
        </w:trPr>
        <w:tc>
          <w:tcPr>
            <w:tcW w:w="1766" w:type="dxa"/>
            <w:gridSpan w:val="2"/>
            <w:vAlign w:val="center"/>
          </w:tcPr>
          <w:p>
            <w:pPr>
              <w:widowControl w:val="0"/>
              <w:kinsoku/>
              <w:autoSpaceDE/>
              <w:autoSpaceDN/>
              <w:adjustRightInd/>
              <w:snapToGrid/>
              <w:spacing w:line="220" w:lineRule="exact"/>
              <w:jc w:val="center"/>
              <w:textAlignment w:val="auto"/>
              <w:rPr>
                <w:rFonts w:hint="eastAsia" w:ascii="方正仿宋_GBK" w:hAnsi="方正仿宋_GBK" w:eastAsia="方正仿宋_GBK" w:cs="方正仿宋_GBK"/>
                <w:kern w:val="2"/>
                <w:sz w:val="25"/>
                <w:szCs w:val="25"/>
                <w:lang w:eastAsia="zh-CN"/>
              </w:rPr>
            </w:pPr>
            <w:r>
              <w:rPr>
                <w:rFonts w:hint="eastAsia" w:ascii="方正仿宋_GBK" w:hAnsi="方正仿宋_GBK" w:eastAsia="方正仿宋_GBK" w:cs="方正仿宋_GBK"/>
                <w:b/>
                <w:kern w:val="0"/>
                <w:sz w:val="25"/>
                <w:szCs w:val="25"/>
                <w:lang w:eastAsia="zh-CN"/>
              </w:rPr>
              <w:t>得分</w:t>
            </w:r>
          </w:p>
        </w:tc>
        <w:tc>
          <w:tcPr>
            <w:tcW w:w="12240" w:type="dxa"/>
            <w:gridSpan w:val="6"/>
            <w:vAlign w:val="center"/>
          </w:tcPr>
          <w:p>
            <w:pPr>
              <w:widowControl w:val="0"/>
              <w:kinsoku/>
              <w:autoSpaceDE/>
              <w:autoSpaceDN/>
              <w:adjustRightInd/>
              <w:snapToGrid/>
              <w:spacing w:line="220" w:lineRule="exact"/>
              <w:jc w:val="both"/>
              <w:textAlignment w:val="auto"/>
              <w:rPr>
                <w:rFonts w:hint="eastAsia" w:ascii="方正仿宋_GBK" w:hAnsi="方正仿宋_GBK" w:eastAsia="方正仿宋_GBK" w:cs="方正仿宋_GBK"/>
                <w:kern w:val="2"/>
                <w:sz w:val="25"/>
                <w:szCs w:val="25"/>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323" w:hRule="atLeast"/>
        </w:trPr>
        <w:tc>
          <w:tcPr>
            <w:tcW w:w="14006" w:type="dxa"/>
            <w:gridSpan w:val="8"/>
            <w:vAlign w:val="center"/>
          </w:tcPr>
          <w:p>
            <w:pPr>
              <w:widowControl w:val="0"/>
              <w:kinsoku/>
              <w:autoSpaceDE/>
              <w:autoSpaceDN/>
              <w:adjustRightInd/>
              <w:snapToGrid/>
              <w:spacing w:line="220" w:lineRule="exact"/>
              <w:jc w:val="left"/>
              <w:textAlignment w:val="auto"/>
              <w:rPr>
                <w:rFonts w:hint="eastAsia" w:ascii="方正仿宋_GBK" w:hAnsi="方正仿宋_GBK" w:eastAsia="方正仿宋_GBK" w:cs="方正仿宋_GBK"/>
                <w:bCs/>
                <w:kern w:val="0"/>
                <w:sz w:val="25"/>
                <w:szCs w:val="25"/>
                <w:lang w:eastAsia="zh-CN"/>
              </w:rPr>
            </w:pPr>
            <w:r>
              <w:rPr>
                <w:rFonts w:hint="eastAsia" w:ascii="方正仿宋_GBK" w:hAnsi="方正仿宋_GBK" w:eastAsia="方正仿宋_GBK" w:cs="方正仿宋_GBK"/>
                <w:bCs/>
                <w:kern w:val="0"/>
                <w:sz w:val="25"/>
                <w:szCs w:val="25"/>
                <w:lang w:eastAsia="zh-CN"/>
              </w:rPr>
              <w:t>裁判签名：</w:t>
            </w:r>
            <w:r>
              <w:rPr>
                <w:rFonts w:hint="eastAsia" w:ascii="方正仿宋_GBK" w:hAnsi="方正仿宋_GBK" w:eastAsia="方正仿宋_GBK" w:cs="方正仿宋_GBK"/>
                <w:bCs/>
                <w:kern w:val="0"/>
                <w:sz w:val="25"/>
                <w:szCs w:val="25"/>
                <w:u w:val="single"/>
                <w:lang w:eastAsia="zh-CN"/>
              </w:rPr>
              <w:t>_____________________</w:t>
            </w:r>
          </w:p>
        </w:tc>
      </w:tr>
    </w:tbl>
    <w:p>
      <w:pPr>
        <w:pStyle w:val="7"/>
      </w:pPr>
    </w:p>
    <w:p>
      <w:pPr>
        <w:pStyle w:val="6"/>
        <w:spacing w:before="151" w:line="222" w:lineRule="auto"/>
        <w:ind w:left="3548"/>
        <w:rPr>
          <w:b/>
          <w:bCs/>
          <w:spacing w:val="20"/>
          <w:sz w:val="24"/>
          <w:szCs w:val="24"/>
        </w:rPr>
      </w:pPr>
    </w:p>
    <w:p>
      <w:pPr>
        <w:pStyle w:val="6"/>
        <w:spacing w:before="151" w:line="222" w:lineRule="auto"/>
        <w:rPr>
          <w:b/>
          <w:bCs/>
          <w:spacing w:val="20"/>
          <w:sz w:val="24"/>
          <w:szCs w:val="24"/>
        </w:rPr>
        <w:sectPr>
          <w:pgSz w:w="16840" w:h="11900" w:orient="landscape"/>
          <w:pgMar w:top="1785" w:right="1431" w:bottom="1464" w:left="1619" w:header="0" w:footer="1439" w:gutter="0"/>
          <w:cols w:space="720" w:num="1"/>
        </w:sectPr>
      </w:pPr>
    </w:p>
    <w:p>
      <w:pPr>
        <w:pStyle w:val="7"/>
      </w:pP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(三)评判方法</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1.评判原则</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针对操作过程中在各个关键点所应呈现的技术指标、系统状态，列出各评判项、评判标准和测试方法以及技术指标进行评判。评分表根据比赛试题制定。</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2.评价方法</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对照评判标准，由裁判员根据选手完成情况，对选手工作任务完成情况进行评测，给出选手的具体成绩。</w:t>
      </w:r>
    </w:p>
    <w:p>
      <w:pPr>
        <w:keepNext w:val="0"/>
        <w:keepLines w:val="0"/>
        <w:pageBreakBefore w:val="0"/>
        <w:widowControl/>
        <w:kinsoku w:val="0"/>
        <w:wordWrap/>
        <w:overflowPunct/>
        <w:topLinePunct w:val="0"/>
        <w:autoSpaceDE w:val="0"/>
        <w:autoSpaceDN w:val="0"/>
        <w:bidi w:val="0"/>
        <w:adjustRightInd w:val="0"/>
        <w:snapToGrid w:val="0"/>
        <w:spacing w:before="178" w:line="580" w:lineRule="exact"/>
        <w:ind w:left="624"/>
        <w:textAlignment w:val="baseline"/>
        <w:outlineLvl w:val="1"/>
        <w:rPr>
          <w:rFonts w:ascii="黑体" w:hAnsi="黑体" w:eastAsia="黑体" w:cs="黑体"/>
          <w:sz w:val="32"/>
          <w:szCs w:val="32"/>
        </w:rPr>
      </w:pPr>
      <w:r>
        <w:rPr>
          <w:rFonts w:ascii="黑体" w:hAnsi="黑体" w:eastAsia="黑体" w:cs="黑体"/>
          <w:b/>
          <w:bCs/>
          <w:spacing w:val="-12"/>
          <w:sz w:val="32"/>
          <w:szCs w:val="32"/>
        </w:rPr>
        <w:t>七、比赛规则</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(一)比赛基本要求</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1.上机考试考场规则</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(1)参赛选手进入考场需对号入座，听从指挥，不得携带任何资料、通讯工具，否则按作弊处理。</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(2)参赛选手提前10分钟进入考场，迟到10分钟以上者，取消考试资格，考试开始20分钟后方能离开考场。</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(3)参赛选手考试中遵守考场纪律，不得作弊，一经发现取消考试资格。</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2.实操考试规则</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(1)参赛选手必须服从裁判指挥，按操作比赛项目规则进行实际操作。在操作比赛中违反规则者，裁判应予以制止，对不听劝阻者，应立即向工作小组汇报，对选手作出处理。</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(2)比赛期间除组委会成员、裁判组成员、会务组成员、赛场工作人员外，未经允许其余人员一律不得进入比赛场地。所有进入赛场的人员应佩带有效的标志。</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(3)比赛在规定时间结束时，参赛选手应立即停止操作，不得拖延比赛时间。</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(4)实操比赛无特殊情况，不允许提前离场。</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(5)参赛人员应爱护比赛场所的环境卫生和仪器设备，操作设备时应谨慎操作，若出现异常由裁判长现场判决处理。</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(二)安全操作规程</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为了切实保证参赛选手的人身安全和比赛的顺利进行，根据本次比赛的具体情况制定本规程，参赛单位和选手要遵守安全操作规程。</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1.选手必须身着工作服进行比赛，工作服要求采用纯棉材质，形式为长衣长裤，比赛全程要求做到“领口紧、袖口紧、下摆紧”三紧要求。</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2.选手比赛全程需穿绝缘鞋，绝缘鞋同时要求具有防砸、防穿刺功能。</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3.竞赛过程中，选手需要全程保持竞赛区域的环境整洁有序，防止绊倒，摔倒。</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4.选手必须爱护竞赛设备和设施，不得使用错误的或者不合理的工具对设备设施进行操作。</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5.赛场禁止携带和存放易燃、易爆、挥发性物质和材料。</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6.比赛期间所有进入赛区车辆、人员需凭证入内，并主动向工作人员出示。</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7.各类人员须严格遵守赛场规则，严禁携带比赛严令禁止的物品入内。</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(三)仲裁规定</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1.本规定旨在妥善解决参赛选手提出的因比赛规则执行不当而影响比赛结果公正公平的问题，以保证比赛顺利进行。</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2.参赛选手对不符合比赛规定的设备，有失公正的评判，以及对工作人员的违规行为等，均可提出申诉。仲裁申请由领队签字后书面提交比赛监审组，监审组认真负责地受理选手申诉，并将处理意见尽快通知当事人。</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3.选手对监审组提出的申诉处理意见不服时，由比赛工作组裁决，工作小组裁决为最终裁决。参赛选手不得因投诉或对处理意见不服而停止比赛，否则，按弃权处理。</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4.对比赛结果有疑义的仲裁申请应在比赛成绩公布后2小时内提出，逾期不予受理。仲裁申请受理后，应及时做出仲裁决定。</w:t>
      </w:r>
    </w:p>
    <w:p>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before="161" w:line="580" w:lineRule="exact"/>
        <w:ind w:firstLine="602" w:firstLineChars="200"/>
        <w:textAlignment w:val="baseline"/>
        <w:rPr>
          <w:rFonts w:ascii="黑体" w:hAnsi="黑体" w:eastAsia="黑体" w:cs="黑体"/>
          <w:sz w:val="31"/>
          <w:szCs w:val="31"/>
        </w:rPr>
      </w:pPr>
      <w:r>
        <w:rPr>
          <w:rFonts w:ascii="黑体" w:hAnsi="黑体" w:eastAsia="黑体" w:cs="黑体"/>
          <w:b/>
          <w:bCs/>
          <w:spacing w:val="-5"/>
          <w:sz w:val="31"/>
          <w:szCs w:val="31"/>
        </w:rPr>
        <w:t>八、开放赛场</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1.正式比赛前，承办方提供开放式场地供选手进行适应场地训练，训练时间由参赛单位向承办单位提出申请，承办单位同意后方可使用。</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2.比赛承办方应积极做好竞赛的宣传工作。</w:t>
      </w:r>
    </w:p>
    <w:p>
      <w:pPr>
        <w:keepNext w:val="0"/>
        <w:keepLines w:val="0"/>
        <w:pageBreakBefore w:val="0"/>
        <w:widowControl/>
        <w:kinsoku w:val="0"/>
        <w:wordWrap/>
        <w:overflowPunct/>
        <w:topLinePunct w:val="0"/>
        <w:autoSpaceDE w:val="0"/>
        <w:autoSpaceDN w:val="0"/>
        <w:bidi w:val="0"/>
        <w:adjustRightInd w:val="0"/>
        <w:snapToGrid w:val="0"/>
        <w:spacing w:before="150" w:line="580" w:lineRule="exact"/>
        <w:ind w:left="619"/>
        <w:textAlignment w:val="baseline"/>
        <w:outlineLvl w:val="1"/>
        <w:rPr>
          <w:rFonts w:ascii="黑体" w:hAnsi="黑体" w:eastAsia="黑体" w:cs="黑体"/>
          <w:sz w:val="31"/>
          <w:szCs w:val="31"/>
        </w:rPr>
      </w:pPr>
      <w:r>
        <w:rPr>
          <w:rFonts w:ascii="黑体" w:hAnsi="黑体" w:eastAsia="黑体" w:cs="黑体"/>
          <w:b/>
          <w:bCs/>
          <w:spacing w:val="-6"/>
          <w:sz w:val="31"/>
          <w:szCs w:val="31"/>
        </w:rPr>
        <w:t>九、联系人及联系电话</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eastAsia" w:ascii="方正仿宋_GBK" w:hAnsi="方正仿宋_GBK" w:eastAsia="方正仿宋_GBK" w:cs="方正仿宋_GBK"/>
          <w:spacing w:val="-7"/>
          <w:sz w:val="32"/>
          <w:szCs w:val="32"/>
          <w:lang w:val="en-US" w:eastAsia="zh-CN"/>
        </w:rPr>
      </w:pPr>
      <w:r>
        <w:rPr>
          <w:rFonts w:hint="eastAsia" w:ascii="方正仿宋_GBK" w:hAnsi="方正仿宋_GBK" w:eastAsia="方正仿宋_GBK" w:cs="方正仿宋_GBK"/>
          <w:spacing w:val="-7"/>
          <w:sz w:val="32"/>
          <w:szCs w:val="32"/>
          <w:lang w:val="en-US" w:eastAsia="zh-CN"/>
        </w:rPr>
        <w:t>鲁国正：18953840990</w:t>
      </w:r>
    </w:p>
    <w:p>
      <w:pPr>
        <w:pStyle w:val="6"/>
        <w:keepNext w:val="0"/>
        <w:keepLines w:val="0"/>
        <w:pageBreakBefore w:val="0"/>
        <w:widowControl/>
        <w:kinsoku w:val="0"/>
        <w:wordWrap/>
        <w:overflowPunct/>
        <w:topLinePunct w:val="0"/>
        <w:autoSpaceDE w:val="0"/>
        <w:autoSpaceDN w:val="0"/>
        <w:bidi w:val="0"/>
        <w:adjustRightInd w:val="0"/>
        <w:snapToGrid w:val="0"/>
        <w:spacing w:before="101" w:line="580" w:lineRule="exact"/>
        <w:ind w:left="34" w:right="108" w:firstLine="601"/>
        <w:jc w:val="both"/>
        <w:textAlignment w:val="baseline"/>
        <w:rPr>
          <w:rFonts w:hint="default"/>
          <w:lang w:val="en-US" w:eastAsia="zh-CN"/>
        </w:rPr>
      </w:pPr>
      <w:r>
        <w:rPr>
          <w:rFonts w:hint="eastAsia" w:ascii="方正仿宋_GBK" w:hAnsi="方正仿宋_GBK" w:eastAsia="方正仿宋_GBK" w:cs="方正仿宋_GBK"/>
          <w:spacing w:val="-7"/>
          <w:sz w:val="32"/>
          <w:szCs w:val="32"/>
          <w:lang w:val="en-US" w:eastAsia="zh-CN"/>
        </w:rPr>
        <w:t>张  恒：13953846656</w:t>
      </w:r>
    </w:p>
    <w:sectPr>
      <w:pgSz w:w="11900" w:h="16840"/>
      <w:pgMar w:top="1431" w:right="1464" w:bottom="1619" w:left="1785" w:header="0" w:footer="143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00000000" w:usb1="00000000" w:usb2="00000016" w:usb3="00000000" w:csb0="00040001" w:csb1="00000000"/>
  </w:font>
  <w:font w:name="方正仿宋_GBK">
    <w:panose1 w:val="03000509000000000000"/>
    <w:charset w:val="86"/>
    <w:family w:val="auto"/>
    <w:pitch w:val="default"/>
    <w:sig w:usb0="00000000" w:usb1="00000000" w:usb2="00000000" w:usb3="00000000" w:csb0="00040000" w:csb1="00000000"/>
  </w:font>
  <w:font w:name="仿宋_GB2312">
    <w:altName w:val="仿宋"/>
    <w:panose1 w:val="00000000000000000000"/>
    <w:charset w:val="7A"/>
    <w:family w:val="modern"/>
    <w:pitch w:val="default"/>
    <w:sig w:usb0="00000000" w:usb1="00000000" w:usb2="00000000" w:usb3="00000000" w:csb0="00040000" w:csb1="00000000"/>
  </w:font>
  <w:font w:name="方正小标宋简体">
    <w:panose1 w:val="03000509000000000000"/>
    <w:charset w:val="86"/>
    <w:family w:val="auto"/>
    <w:pitch w:val="default"/>
    <w:sig w:usb0="00000000" w:usb1="00000000" w:usb2="00000000" w:usb3="00000000" w:csb0="00040000" w:csb1="00000000"/>
  </w:font>
  <w:font w:name="方正小标宋_GBK">
    <w:panose1 w:val="03000509000000000000"/>
    <w:charset w:val="7A"/>
    <w:family w:val="script"/>
    <w:pitch w:val="default"/>
    <w:sig w:usb0="00000000" w:usb1="00000000" w:usb2="00000000" w:usb3="00000000" w:csb0="00040000" w:csb1="00000000"/>
  </w:font>
  <w:font w:name="楷体">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234"/>
      <w:rPr>
        <w:rFonts w:ascii="Times New Roman" w:hAnsi="Times New Roman" w:eastAsia="Times New Roman" w:cs="Times New Roman"/>
        <w:sz w:val="20"/>
        <w:szCs w:val="20"/>
      </w:rPr>
    </w:pPr>
    <w:r>
      <w:rPr>
        <w:rFonts w:ascii="Times New Roman" w:hAnsi="Times New Roman" w:eastAsia="Times New Roman" w:cs="Times New Roman"/>
        <w:spacing w:val="-6"/>
        <w:sz w:val="20"/>
        <w:szCs w:val="20"/>
      </w:rPr>
      <w:t>18</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rFonts w:eastAsia="宋体" w:asciiTheme="minorHAnsi" w:hAnsiTheme="minorHAnsi" w:cstheme="minorBidi"/>
      <w:sz w:val="24"/>
      <w:szCs w:val="24"/>
    </w:rPr>
  </w:style>
  <w:style w:type="paragraph" w:styleId="3">
    <w:name w:val="Body Text First Indent 2"/>
    <w:basedOn w:val="4"/>
    <w:unhideWhenUsed/>
    <w:qFormat/>
    <w:uiPriority w:val="99"/>
    <w:pPr>
      <w:ind w:firstLine="420" w:firstLineChars="200"/>
    </w:pPr>
  </w:style>
  <w:style w:type="paragraph" w:styleId="4">
    <w:name w:val="Body Text Indent"/>
    <w:basedOn w:val="1"/>
    <w:qFormat/>
    <w:uiPriority w:val="0"/>
    <w:pPr>
      <w:spacing w:after="120"/>
      <w:ind w:left="420" w:leftChars="200"/>
    </w:pPr>
  </w:style>
  <w:style w:type="paragraph" w:styleId="5">
    <w:name w:val="index 5"/>
    <w:basedOn w:val="1"/>
    <w:next w:val="1"/>
    <w:qFormat/>
    <w:uiPriority w:val="0"/>
    <w:pPr>
      <w:ind w:left="1680"/>
    </w:pPr>
    <w:rPr>
      <w:rFonts w:ascii="Calibri" w:hAnsi="Calibri" w:eastAsia="宋体" w:cs="Times New Roman"/>
    </w:rPr>
  </w:style>
  <w:style w:type="paragraph" w:styleId="6">
    <w:name w:val="Body Text"/>
    <w:basedOn w:val="1"/>
    <w:next w:val="7"/>
    <w:semiHidden/>
    <w:qFormat/>
    <w:uiPriority w:val="0"/>
    <w:rPr>
      <w:rFonts w:ascii="仿宋" w:hAnsi="仿宋" w:eastAsia="仿宋" w:cs="仿宋"/>
      <w:sz w:val="34"/>
      <w:szCs w:val="34"/>
      <w:lang w:val="en-US" w:eastAsia="en-US" w:bidi="ar-SA"/>
    </w:rPr>
  </w:style>
  <w:style w:type="paragraph" w:styleId="7">
    <w:name w:val="toc 3"/>
    <w:basedOn w:val="1"/>
    <w:next w:val="1"/>
    <w:qFormat/>
    <w:uiPriority w:val="0"/>
    <w:pPr>
      <w:widowControl/>
      <w:kinsoku w:val="0"/>
      <w:autoSpaceDE w:val="0"/>
      <w:autoSpaceDN w:val="0"/>
      <w:adjustRightInd w:val="0"/>
      <w:snapToGrid w:val="0"/>
      <w:spacing w:after="100" w:line="276" w:lineRule="auto"/>
      <w:ind w:left="440" w:firstLine="3584"/>
      <w:jc w:val="left"/>
      <w:textAlignment w:val="baseline"/>
    </w:pPr>
    <w:rPr>
      <w:rFonts w:ascii="Calibri" w:hAnsi="Calibri" w:eastAsia="方正仿宋_GBK" w:cs="方正仿宋_GBK"/>
      <w:snapToGrid w:val="0"/>
      <w:color w:val="000000"/>
      <w:kern w:val="0"/>
      <w:szCs w:val="32"/>
    </w:rPr>
  </w:style>
  <w:style w:type="paragraph" w:styleId="8">
    <w:name w:val="footer"/>
    <w:basedOn w:val="1"/>
    <w:next w:val="5"/>
    <w:unhideWhenUsed/>
    <w:qFormat/>
    <w:uiPriority w:val="99"/>
    <w:pPr>
      <w:spacing w:before="100" w:beforeAutospacing="1" w:after="100" w:afterAutospacing="1"/>
      <w:jc w:val="left"/>
    </w:pPr>
    <w:rPr>
      <w:rFonts w:ascii="宋体" w:hAnsi="宋体" w:eastAsia="宋体" w:cs="宋体"/>
      <w:kern w:val="0"/>
      <w:sz w:val="24"/>
      <w:szCs w:val="24"/>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100" w:beforeAutospacing="1" w:after="100" w:afterAutospacing="1"/>
      <w:jc w:val="left"/>
    </w:pPr>
    <w:rPr>
      <w:rFonts w:cs="Times New Roman"/>
      <w:kern w:val="0"/>
      <w:sz w:val="24"/>
    </w:rPr>
  </w:style>
  <w:style w:type="table" w:customStyle="1" w:styleId="13">
    <w:name w:val="Table Normal"/>
    <w:unhideWhenUsed/>
    <w:qFormat/>
    <w:uiPriority w:val="0"/>
    <w:tblPr>
      <w:tblLayout w:type="fixed"/>
      <w:tblCellMar>
        <w:top w:w="0" w:type="dxa"/>
        <w:left w:w="0" w:type="dxa"/>
        <w:bottom w:w="0" w:type="dxa"/>
        <w:right w:w="0" w:type="dxa"/>
      </w:tblCellMar>
    </w:tblPr>
  </w:style>
  <w:style w:type="paragraph" w:customStyle="1" w:styleId="14">
    <w:name w:val="Table Text"/>
    <w:basedOn w:val="1"/>
    <w:semiHidden/>
    <w:qFormat/>
    <w:uiPriority w:val="0"/>
    <w:rPr>
      <w:rFonts w:ascii="Arial" w:hAnsi="Arial" w:eastAsia="Arial" w:cs="Arial"/>
      <w:sz w:val="21"/>
      <w:szCs w:val="21"/>
      <w:lang w:val="en-US" w:eastAsia="en-US" w:bidi="ar-SA"/>
    </w:rPr>
  </w:style>
  <w:style w:type="paragraph" w:customStyle="1" w:styleId="15">
    <w:name w:val="p17"/>
    <w:basedOn w:val="1"/>
    <w:qFormat/>
    <w:uiPriority w:val="0"/>
    <w:pPr>
      <w:widowControl/>
      <w:jc w:val="left"/>
    </w:pPr>
    <w:rPr>
      <w:rFonts w:hint="eastAsia" w:ascii="宋体" w:hAnsi="宋体"/>
      <w:kern w:val="0"/>
      <w:sz w:val="24"/>
    </w:rPr>
  </w:style>
  <w:style w:type="paragraph" w:customStyle="1" w:styleId="16">
    <w:name w:val="TableOfAuthoring"/>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character" w:customStyle="1" w:styleId="17">
    <w:name w:val="正文文本 Char1"/>
    <w:basedOn w:val="11"/>
    <w:qFormat/>
    <w:uiPriority w:val="99"/>
    <w:rPr>
      <w:rFonts w:ascii="黑体" w:eastAsia="黑体" w:cs="黑体"/>
      <w:spacing w:val="-10"/>
      <w:sz w:val="32"/>
      <w:szCs w:val="32"/>
      <w:shd w:val="clear" w:color="auto" w:fill="FFFFFF"/>
    </w:rPr>
  </w:style>
  <w:style w:type="paragraph" w:customStyle="1" w:styleId="18">
    <w:name w:val=" Char Char Char Char Char Char"/>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2024-07-03T15:43:00Z</dcterms:created>
  <dc:creator>admin</dc:creator>
  <cp:lastModifiedBy>iPhone</cp:lastModifiedBy>
  <dcterms:modified xsi:type="dcterms:W3CDTF">2024-07-11T15:04:02Z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2024-07-02T15:43:00Z</vt:filetime>
  </property>
  <property fmtid="{D5CDD505-2E9C-101B-9397-08002B2CF9AE}" pid="4" name="UsrData">
    <vt:lpwstr>6683afb5d428bf001f2405fcwl</vt:lpwstr>
  </property>
  <property fmtid="{D5CDD505-2E9C-101B-9397-08002B2CF9AE}" pid="5" name="KSOProductBuildVer">
    <vt:lpwstr>2052-12.5.0</vt:lpwstr>
  </property>
  <property fmtid="{D5CDD505-2E9C-101B-9397-08002B2CF9AE}" pid="6" name="ICV">
    <vt:lpwstr>0C3CB8EB06AA4934A617336F5F959AF8</vt:lpwstr>
  </property>
</Properties>
</file>