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A7" w:rsidRPr="00910373" w:rsidRDefault="00622ADA" w:rsidP="00AC2802">
      <w:pPr>
        <w:spacing w:line="640" w:lineRule="exact"/>
        <w:rPr>
          <w:rFonts w:ascii="黑体" w:eastAsia="黑体" w:hAnsi="黑体"/>
          <w:color w:val="000000" w:themeColor="text1"/>
          <w:sz w:val="32"/>
          <w:szCs w:val="32"/>
        </w:rPr>
      </w:pPr>
      <w:r w:rsidRPr="005658D6">
        <w:rPr>
          <w:rFonts w:ascii="黑体" w:eastAsia="黑体" w:hAnsi="黑体"/>
          <w:color w:val="000000" w:themeColor="text1"/>
          <w:kern w:val="0"/>
          <w:sz w:val="32"/>
          <w:szCs w:val="32"/>
        </w:rPr>
        <w:t>附件</w:t>
      </w:r>
    </w:p>
    <w:p w:rsidR="00622ADA" w:rsidRPr="00910373" w:rsidRDefault="00622ADA" w:rsidP="00622ADA">
      <w:pPr>
        <w:pStyle w:val="3"/>
        <w:keepNext w:val="0"/>
        <w:keepLines w:val="0"/>
        <w:spacing w:before="0" w:after="0" w:line="600" w:lineRule="exact"/>
        <w:jc w:val="center"/>
        <w:rPr>
          <w:rFonts w:ascii="Times New Roman" w:eastAsia="方正小标宋简体" w:hAnsi="Times New Roman"/>
          <w:b w:val="0"/>
          <w:color w:val="000000" w:themeColor="text1"/>
          <w:kern w:val="0"/>
          <w:sz w:val="44"/>
          <w:szCs w:val="40"/>
        </w:rPr>
      </w:pPr>
      <w:r w:rsidRPr="005658D6">
        <w:rPr>
          <w:rFonts w:ascii="Times New Roman" w:eastAsia="方正小标宋简体" w:hAnsi="Times New Roman"/>
          <w:b w:val="0"/>
          <w:color w:val="000000" w:themeColor="text1"/>
          <w:kern w:val="0"/>
          <w:sz w:val="44"/>
          <w:szCs w:val="40"/>
        </w:rPr>
        <w:t>泰安市深化水价机制改革促进水资源节约</w:t>
      </w:r>
    </w:p>
    <w:p w:rsidR="005658D6" w:rsidRPr="00910373" w:rsidRDefault="00622ADA" w:rsidP="00622ADA">
      <w:pPr>
        <w:pStyle w:val="3"/>
        <w:keepNext w:val="0"/>
        <w:keepLines w:val="0"/>
        <w:spacing w:before="0" w:after="0" w:line="600" w:lineRule="exact"/>
        <w:jc w:val="center"/>
        <w:rPr>
          <w:rFonts w:ascii="Times New Roman" w:hAnsi="Times New Roman"/>
          <w:b w:val="0"/>
          <w:color w:val="000000" w:themeColor="text1"/>
        </w:rPr>
      </w:pPr>
      <w:r w:rsidRPr="005658D6">
        <w:rPr>
          <w:rFonts w:ascii="Times New Roman" w:eastAsia="方正小标宋简体" w:hAnsi="Times New Roman"/>
          <w:b w:val="0"/>
          <w:color w:val="000000" w:themeColor="text1"/>
          <w:kern w:val="0"/>
          <w:sz w:val="44"/>
          <w:szCs w:val="40"/>
        </w:rPr>
        <w:t>集约利用重点工作与责任分工表</w:t>
      </w:r>
    </w:p>
    <w:p w:rsidR="005658D6" w:rsidRPr="00910373" w:rsidRDefault="005658D6" w:rsidP="00622ADA">
      <w:pPr>
        <w:spacing w:line="240" w:lineRule="exact"/>
        <w:rPr>
          <w:rFonts w:ascii="Times New Roman" w:hAnsi="Times New Roman"/>
          <w:color w:val="000000" w:themeColor="text1"/>
        </w:rPr>
      </w:pPr>
    </w:p>
    <w:tbl>
      <w:tblPr>
        <w:tblStyle w:val="a6"/>
        <w:tblW w:w="5000" w:type="pct"/>
        <w:tblLook w:val="04A0"/>
      </w:tblPr>
      <w:tblGrid>
        <w:gridCol w:w="643"/>
        <w:gridCol w:w="1060"/>
        <w:gridCol w:w="1456"/>
        <w:gridCol w:w="4691"/>
        <w:gridCol w:w="1783"/>
        <w:gridCol w:w="2449"/>
        <w:gridCol w:w="1570"/>
      </w:tblGrid>
      <w:tr w:rsidR="005658D6" w:rsidRPr="005658D6" w:rsidTr="00D16FB7">
        <w:trPr>
          <w:trHeight w:val="563"/>
        </w:trPr>
        <w:tc>
          <w:tcPr>
            <w:tcW w:w="235" w:type="pct"/>
            <w:vAlign w:val="center"/>
            <w:hideMark/>
          </w:tcPr>
          <w:p w:rsidR="005658D6" w:rsidRPr="005658D6" w:rsidRDefault="005658D6" w:rsidP="00D16FB7">
            <w:pPr>
              <w:widowControl/>
              <w:jc w:val="center"/>
              <w:rPr>
                <w:rFonts w:ascii="Times New Roman" w:eastAsia="黑体" w:hAnsi="Times New Roman"/>
                <w:color w:val="000000" w:themeColor="text1"/>
                <w:kern w:val="0"/>
                <w:szCs w:val="21"/>
              </w:rPr>
            </w:pPr>
            <w:r w:rsidRPr="005658D6">
              <w:rPr>
                <w:rFonts w:ascii="Times New Roman" w:eastAsia="黑体" w:hAnsi="黑体"/>
                <w:color w:val="000000" w:themeColor="text1"/>
                <w:kern w:val="0"/>
                <w:szCs w:val="21"/>
              </w:rPr>
              <w:t>序号</w:t>
            </w:r>
          </w:p>
        </w:tc>
        <w:tc>
          <w:tcPr>
            <w:tcW w:w="388" w:type="pct"/>
            <w:vAlign w:val="center"/>
            <w:hideMark/>
          </w:tcPr>
          <w:p w:rsidR="005658D6" w:rsidRPr="005658D6" w:rsidRDefault="005658D6" w:rsidP="00D16FB7">
            <w:pPr>
              <w:widowControl/>
              <w:jc w:val="center"/>
              <w:rPr>
                <w:rFonts w:ascii="Times New Roman" w:eastAsia="黑体" w:hAnsi="Times New Roman"/>
                <w:color w:val="000000" w:themeColor="text1"/>
                <w:kern w:val="0"/>
                <w:szCs w:val="21"/>
              </w:rPr>
            </w:pPr>
            <w:r w:rsidRPr="005658D6">
              <w:rPr>
                <w:rFonts w:ascii="Times New Roman" w:eastAsia="黑体" w:hAnsi="黑体"/>
                <w:color w:val="000000" w:themeColor="text1"/>
                <w:kern w:val="0"/>
                <w:szCs w:val="21"/>
              </w:rPr>
              <w:t>重点任务</w:t>
            </w:r>
          </w:p>
        </w:tc>
        <w:tc>
          <w:tcPr>
            <w:tcW w:w="2251" w:type="pct"/>
            <w:gridSpan w:val="2"/>
            <w:vAlign w:val="center"/>
            <w:hideMark/>
          </w:tcPr>
          <w:p w:rsidR="005658D6" w:rsidRPr="005658D6" w:rsidRDefault="005658D6" w:rsidP="00D16FB7">
            <w:pPr>
              <w:widowControl/>
              <w:jc w:val="center"/>
              <w:rPr>
                <w:rFonts w:ascii="Times New Roman" w:eastAsia="黑体" w:hAnsi="Times New Roman"/>
                <w:color w:val="000000" w:themeColor="text1"/>
                <w:kern w:val="0"/>
                <w:szCs w:val="21"/>
              </w:rPr>
            </w:pPr>
            <w:r w:rsidRPr="005658D6">
              <w:rPr>
                <w:rFonts w:ascii="Times New Roman" w:eastAsia="黑体" w:hAnsi="黑体"/>
                <w:color w:val="000000" w:themeColor="text1"/>
                <w:kern w:val="0"/>
                <w:szCs w:val="21"/>
              </w:rPr>
              <w:t>工作内容</w:t>
            </w:r>
          </w:p>
        </w:tc>
        <w:tc>
          <w:tcPr>
            <w:tcW w:w="653" w:type="pct"/>
            <w:vAlign w:val="center"/>
            <w:hideMark/>
          </w:tcPr>
          <w:p w:rsidR="005658D6" w:rsidRPr="005658D6" w:rsidRDefault="005658D6" w:rsidP="00D16FB7">
            <w:pPr>
              <w:widowControl/>
              <w:jc w:val="center"/>
              <w:rPr>
                <w:rFonts w:ascii="Times New Roman" w:eastAsia="黑体" w:hAnsi="Times New Roman"/>
                <w:color w:val="000000" w:themeColor="text1"/>
                <w:kern w:val="0"/>
                <w:szCs w:val="21"/>
              </w:rPr>
            </w:pPr>
            <w:r w:rsidRPr="005658D6">
              <w:rPr>
                <w:rFonts w:ascii="Times New Roman" w:eastAsia="黑体" w:hAnsi="黑体"/>
                <w:color w:val="000000" w:themeColor="text1"/>
                <w:kern w:val="0"/>
                <w:szCs w:val="21"/>
              </w:rPr>
              <w:t>牵头单位</w:t>
            </w:r>
          </w:p>
        </w:tc>
        <w:tc>
          <w:tcPr>
            <w:tcW w:w="897" w:type="pct"/>
            <w:vAlign w:val="center"/>
            <w:hideMark/>
          </w:tcPr>
          <w:p w:rsidR="005658D6" w:rsidRPr="005658D6" w:rsidRDefault="005658D6" w:rsidP="00D16FB7">
            <w:pPr>
              <w:widowControl/>
              <w:jc w:val="center"/>
              <w:rPr>
                <w:rFonts w:ascii="Times New Roman" w:eastAsia="黑体" w:hAnsi="Times New Roman"/>
                <w:color w:val="000000" w:themeColor="text1"/>
                <w:kern w:val="0"/>
                <w:szCs w:val="21"/>
              </w:rPr>
            </w:pPr>
            <w:r w:rsidRPr="005658D6">
              <w:rPr>
                <w:rFonts w:ascii="Times New Roman" w:eastAsia="黑体" w:hAnsi="黑体"/>
                <w:color w:val="000000" w:themeColor="text1"/>
                <w:kern w:val="0"/>
                <w:szCs w:val="21"/>
              </w:rPr>
              <w:t>责任单位</w:t>
            </w:r>
          </w:p>
        </w:tc>
        <w:tc>
          <w:tcPr>
            <w:tcW w:w="575" w:type="pct"/>
            <w:vAlign w:val="center"/>
            <w:hideMark/>
          </w:tcPr>
          <w:p w:rsidR="005658D6" w:rsidRPr="005658D6" w:rsidRDefault="005658D6" w:rsidP="00D16FB7">
            <w:pPr>
              <w:widowControl/>
              <w:jc w:val="center"/>
              <w:rPr>
                <w:rFonts w:ascii="Times New Roman" w:eastAsia="黑体" w:hAnsi="Times New Roman"/>
                <w:color w:val="000000" w:themeColor="text1"/>
                <w:kern w:val="0"/>
                <w:szCs w:val="21"/>
              </w:rPr>
            </w:pPr>
            <w:r w:rsidRPr="005658D6">
              <w:rPr>
                <w:rFonts w:ascii="Times New Roman" w:eastAsia="黑体" w:hAnsi="黑体"/>
                <w:color w:val="000000" w:themeColor="text1"/>
                <w:kern w:val="0"/>
                <w:szCs w:val="21"/>
              </w:rPr>
              <w:t>完成时间</w:t>
            </w:r>
          </w:p>
        </w:tc>
      </w:tr>
      <w:tr w:rsidR="005658D6" w:rsidRPr="005658D6" w:rsidTr="00D16FB7">
        <w:trPr>
          <w:trHeight w:val="938"/>
        </w:trPr>
        <w:tc>
          <w:tcPr>
            <w:tcW w:w="235" w:type="pct"/>
            <w:vMerge w:val="restar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一</w:t>
            </w:r>
          </w:p>
        </w:tc>
        <w:tc>
          <w:tcPr>
            <w:tcW w:w="388" w:type="pct"/>
            <w:vMerge w:val="restar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完善水价管理体制机制</w:t>
            </w:r>
          </w:p>
        </w:tc>
        <w:tc>
          <w:tcPr>
            <w:tcW w:w="533"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1.</w:t>
            </w:r>
            <w:r w:rsidRPr="005658D6">
              <w:rPr>
                <w:rFonts w:ascii="Times New Roman" w:hAnsi="宋体"/>
                <w:color w:val="000000" w:themeColor="text1"/>
                <w:kern w:val="0"/>
                <w:szCs w:val="21"/>
              </w:rPr>
              <w:t>建立健全水价管理制度</w:t>
            </w:r>
          </w:p>
        </w:tc>
        <w:tc>
          <w:tcPr>
            <w:tcW w:w="1718"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制定我市城镇供水价格管理实施细则。</w:t>
            </w:r>
          </w:p>
        </w:tc>
        <w:tc>
          <w:tcPr>
            <w:tcW w:w="653"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910373" w:rsidRPr="00910373" w:rsidRDefault="005658D6" w:rsidP="00D16FB7">
            <w:pPr>
              <w:widowControl/>
              <w:rPr>
                <w:rFonts w:ascii="Times New Roman" w:hAnsi="宋体"/>
                <w:color w:val="000000" w:themeColor="text1"/>
                <w:kern w:val="0"/>
                <w:szCs w:val="21"/>
              </w:rPr>
            </w:pPr>
            <w:r w:rsidRPr="005658D6">
              <w:rPr>
                <w:rFonts w:ascii="Times New Roman" w:hAnsi="宋体"/>
                <w:color w:val="000000" w:themeColor="text1"/>
                <w:kern w:val="0"/>
                <w:szCs w:val="21"/>
              </w:rPr>
              <w:t>市住房城乡建设局、</w:t>
            </w:r>
          </w:p>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市公用事业服务中心</w:t>
            </w:r>
          </w:p>
        </w:tc>
        <w:tc>
          <w:tcPr>
            <w:tcW w:w="575"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2022</w:t>
            </w:r>
            <w:r w:rsidRPr="005658D6">
              <w:rPr>
                <w:rFonts w:ascii="Times New Roman" w:hAnsi="宋体"/>
                <w:color w:val="000000" w:themeColor="text1"/>
                <w:kern w:val="0"/>
                <w:szCs w:val="21"/>
              </w:rPr>
              <w:t>年年底前</w:t>
            </w:r>
          </w:p>
        </w:tc>
      </w:tr>
      <w:tr w:rsidR="005658D6" w:rsidRPr="005658D6" w:rsidTr="00D16FB7">
        <w:trPr>
          <w:trHeight w:val="878"/>
        </w:trPr>
        <w:tc>
          <w:tcPr>
            <w:tcW w:w="235" w:type="pct"/>
            <w:vMerge/>
            <w:vAlign w:val="center"/>
            <w:hideMark/>
          </w:tcPr>
          <w:p w:rsidR="005658D6" w:rsidRPr="005658D6" w:rsidRDefault="005658D6" w:rsidP="00D16FB7">
            <w:pPr>
              <w:widowControl/>
              <w:rPr>
                <w:rFonts w:ascii="Times New Roman" w:hAnsi="Times New Roman"/>
                <w:color w:val="000000" w:themeColor="text1"/>
                <w:kern w:val="0"/>
                <w:szCs w:val="21"/>
              </w:rPr>
            </w:pPr>
          </w:p>
        </w:tc>
        <w:tc>
          <w:tcPr>
            <w:tcW w:w="388" w:type="pct"/>
            <w:vMerge/>
            <w:vAlign w:val="center"/>
            <w:hideMark/>
          </w:tcPr>
          <w:p w:rsidR="005658D6" w:rsidRPr="005658D6" w:rsidRDefault="005658D6" w:rsidP="00D16FB7">
            <w:pPr>
              <w:widowControl/>
              <w:rPr>
                <w:rFonts w:ascii="Times New Roman" w:hAnsi="Times New Roman"/>
                <w:color w:val="000000" w:themeColor="text1"/>
                <w:kern w:val="0"/>
                <w:szCs w:val="21"/>
              </w:rPr>
            </w:pPr>
          </w:p>
        </w:tc>
        <w:tc>
          <w:tcPr>
            <w:tcW w:w="533"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w:t>
            </w:r>
            <w:r w:rsidRPr="005658D6">
              <w:rPr>
                <w:rFonts w:ascii="Times New Roman" w:hAnsi="宋体"/>
                <w:color w:val="000000" w:themeColor="text1"/>
                <w:kern w:val="0"/>
                <w:szCs w:val="21"/>
              </w:rPr>
              <w:t>完善水价形成机制</w:t>
            </w:r>
          </w:p>
        </w:tc>
        <w:tc>
          <w:tcPr>
            <w:tcW w:w="1718"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按照</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准许成本</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合理收益</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的原则，建立供水价格动态调整机制。</w:t>
            </w:r>
          </w:p>
        </w:tc>
        <w:tc>
          <w:tcPr>
            <w:tcW w:w="653"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910373" w:rsidRPr="00910373" w:rsidRDefault="005658D6" w:rsidP="00D16FB7">
            <w:pPr>
              <w:widowControl/>
              <w:rPr>
                <w:rFonts w:ascii="Times New Roman" w:hAnsi="宋体"/>
                <w:color w:val="000000" w:themeColor="text1"/>
                <w:kern w:val="0"/>
                <w:szCs w:val="21"/>
              </w:rPr>
            </w:pPr>
            <w:r w:rsidRPr="005658D6">
              <w:rPr>
                <w:rFonts w:ascii="Times New Roman" w:hAnsi="宋体"/>
                <w:color w:val="000000" w:themeColor="text1"/>
                <w:kern w:val="0"/>
                <w:szCs w:val="21"/>
              </w:rPr>
              <w:t>市住房城乡建设局、</w:t>
            </w:r>
          </w:p>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市公用事业服务中心</w:t>
            </w:r>
          </w:p>
        </w:tc>
        <w:tc>
          <w:tcPr>
            <w:tcW w:w="575"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2025</w:t>
            </w:r>
            <w:r w:rsidRPr="005658D6">
              <w:rPr>
                <w:rFonts w:ascii="Times New Roman" w:hAnsi="宋体"/>
                <w:color w:val="000000" w:themeColor="text1"/>
                <w:kern w:val="0"/>
                <w:szCs w:val="21"/>
              </w:rPr>
              <w:t>年年底前</w:t>
            </w:r>
          </w:p>
        </w:tc>
      </w:tr>
      <w:tr w:rsidR="005658D6" w:rsidRPr="005658D6" w:rsidTr="00D16FB7">
        <w:trPr>
          <w:trHeight w:val="743"/>
        </w:trPr>
        <w:tc>
          <w:tcPr>
            <w:tcW w:w="235" w:type="pct"/>
            <w:vMerge/>
            <w:vAlign w:val="center"/>
            <w:hideMark/>
          </w:tcPr>
          <w:p w:rsidR="005658D6" w:rsidRPr="005658D6" w:rsidRDefault="005658D6" w:rsidP="00D16FB7">
            <w:pPr>
              <w:widowControl/>
              <w:rPr>
                <w:rFonts w:ascii="Times New Roman" w:hAnsi="Times New Roman"/>
                <w:color w:val="000000" w:themeColor="text1"/>
                <w:kern w:val="0"/>
                <w:szCs w:val="21"/>
              </w:rPr>
            </w:pPr>
          </w:p>
        </w:tc>
        <w:tc>
          <w:tcPr>
            <w:tcW w:w="388" w:type="pct"/>
            <w:vMerge/>
            <w:vAlign w:val="center"/>
            <w:hideMark/>
          </w:tcPr>
          <w:p w:rsidR="005658D6" w:rsidRPr="005658D6" w:rsidRDefault="005658D6" w:rsidP="00D16FB7">
            <w:pPr>
              <w:widowControl/>
              <w:rPr>
                <w:rFonts w:ascii="Times New Roman" w:hAnsi="Times New Roman"/>
                <w:color w:val="000000" w:themeColor="text1"/>
                <w:kern w:val="0"/>
                <w:szCs w:val="21"/>
              </w:rPr>
            </w:pPr>
          </w:p>
        </w:tc>
        <w:tc>
          <w:tcPr>
            <w:tcW w:w="533" w:type="pct"/>
            <w:vMerge w:val="restar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3.</w:t>
            </w:r>
            <w:r w:rsidRPr="005658D6">
              <w:rPr>
                <w:rFonts w:ascii="Times New Roman" w:hAnsi="宋体"/>
                <w:color w:val="000000" w:themeColor="text1"/>
                <w:kern w:val="0"/>
                <w:szCs w:val="21"/>
              </w:rPr>
              <w:t>严格定价程序</w:t>
            </w:r>
          </w:p>
        </w:tc>
        <w:tc>
          <w:tcPr>
            <w:tcW w:w="1718"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严格按照《政府制定价格行为规则》，履行法定定调价程序。</w:t>
            </w:r>
          </w:p>
        </w:tc>
        <w:tc>
          <w:tcPr>
            <w:tcW w:w="653"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 xml:space="preserve">　</w:t>
            </w:r>
          </w:p>
        </w:tc>
        <w:tc>
          <w:tcPr>
            <w:tcW w:w="575"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长期</w:t>
            </w:r>
          </w:p>
        </w:tc>
      </w:tr>
      <w:tr w:rsidR="005658D6" w:rsidRPr="005658D6" w:rsidTr="00D16FB7">
        <w:trPr>
          <w:trHeight w:val="863"/>
        </w:trPr>
        <w:tc>
          <w:tcPr>
            <w:tcW w:w="235" w:type="pct"/>
            <w:vMerge/>
            <w:vAlign w:val="center"/>
            <w:hideMark/>
          </w:tcPr>
          <w:p w:rsidR="005658D6" w:rsidRPr="005658D6" w:rsidRDefault="005658D6" w:rsidP="00D16FB7">
            <w:pPr>
              <w:widowControl/>
              <w:rPr>
                <w:rFonts w:ascii="Times New Roman" w:hAnsi="Times New Roman"/>
                <w:color w:val="000000" w:themeColor="text1"/>
                <w:kern w:val="0"/>
                <w:szCs w:val="21"/>
              </w:rPr>
            </w:pPr>
          </w:p>
        </w:tc>
        <w:tc>
          <w:tcPr>
            <w:tcW w:w="388" w:type="pct"/>
            <w:vMerge/>
            <w:vAlign w:val="center"/>
            <w:hideMark/>
          </w:tcPr>
          <w:p w:rsidR="005658D6" w:rsidRPr="005658D6" w:rsidRDefault="005658D6" w:rsidP="00D16FB7">
            <w:pPr>
              <w:widowControl/>
              <w:rPr>
                <w:rFonts w:ascii="Times New Roman" w:hAnsi="Times New Roman"/>
                <w:color w:val="000000" w:themeColor="text1"/>
                <w:kern w:val="0"/>
                <w:szCs w:val="21"/>
              </w:rPr>
            </w:pPr>
          </w:p>
        </w:tc>
        <w:tc>
          <w:tcPr>
            <w:tcW w:w="533" w:type="pct"/>
            <w:vMerge/>
            <w:vAlign w:val="center"/>
            <w:hideMark/>
          </w:tcPr>
          <w:p w:rsidR="005658D6" w:rsidRPr="005658D6" w:rsidRDefault="005658D6" w:rsidP="00D16FB7">
            <w:pPr>
              <w:widowControl/>
              <w:rPr>
                <w:rFonts w:ascii="Times New Roman" w:hAnsi="Times New Roman"/>
                <w:color w:val="000000" w:themeColor="text1"/>
                <w:kern w:val="0"/>
                <w:szCs w:val="21"/>
              </w:rPr>
            </w:pPr>
          </w:p>
        </w:tc>
        <w:tc>
          <w:tcPr>
            <w:tcW w:w="1718"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完善配套民生保障措施，加大财政投入力度，不增加低收入家庭用水负担。</w:t>
            </w:r>
          </w:p>
        </w:tc>
        <w:tc>
          <w:tcPr>
            <w:tcW w:w="653"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910373" w:rsidRPr="00910373" w:rsidRDefault="005658D6" w:rsidP="00D16FB7">
            <w:pPr>
              <w:widowControl/>
              <w:rPr>
                <w:rFonts w:ascii="Times New Roman" w:hAnsi="宋体"/>
                <w:color w:val="000000" w:themeColor="text1"/>
                <w:kern w:val="0"/>
                <w:szCs w:val="21"/>
              </w:rPr>
            </w:pPr>
            <w:r w:rsidRPr="005658D6">
              <w:rPr>
                <w:rFonts w:ascii="Times New Roman" w:hAnsi="宋体"/>
                <w:color w:val="000000" w:themeColor="text1"/>
                <w:kern w:val="0"/>
                <w:szCs w:val="21"/>
              </w:rPr>
              <w:t>市财政局、</w:t>
            </w:r>
          </w:p>
          <w:p w:rsidR="00910373" w:rsidRPr="00910373" w:rsidRDefault="005658D6" w:rsidP="00D16FB7">
            <w:pPr>
              <w:widowControl/>
              <w:rPr>
                <w:rFonts w:ascii="Times New Roman" w:hAnsi="宋体"/>
                <w:color w:val="000000" w:themeColor="text1"/>
                <w:kern w:val="0"/>
                <w:szCs w:val="21"/>
              </w:rPr>
            </w:pPr>
            <w:r w:rsidRPr="005658D6">
              <w:rPr>
                <w:rFonts w:ascii="Times New Roman" w:hAnsi="宋体"/>
                <w:color w:val="000000" w:themeColor="text1"/>
                <w:kern w:val="0"/>
                <w:szCs w:val="21"/>
              </w:rPr>
              <w:t>市住房城乡建设局、</w:t>
            </w:r>
          </w:p>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市公用事业服务中心</w:t>
            </w:r>
          </w:p>
        </w:tc>
        <w:tc>
          <w:tcPr>
            <w:tcW w:w="575" w:type="pct"/>
            <w:vAlign w:val="center"/>
            <w:hideMark/>
          </w:tcPr>
          <w:p w:rsidR="005658D6" w:rsidRPr="005658D6" w:rsidRDefault="005658D6"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2025</w:t>
            </w:r>
            <w:r w:rsidRPr="005658D6">
              <w:rPr>
                <w:rFonts w:ascii="Times New Roman" w:hAnsi="宋体"/>
                <w:color w:val="000000" w:themeColor="text1"/>
                <w:kern w:val="0"/>
                <w:szCs w:val="21"/>
              </w:rPr>
              <w:t>年年底前</w:t>
            </w:r>
          </w:p>
        </w:tc>
      </w:tr>
      <w:tr w:rsidR="00BC2431" w:rsidRPr="005658D6" w:rsidTr="00D16FB7">
        <w:trPr>
          <w:trHeight w:val="818"/>
        </w:trPr>
        <w:tc>
          <w:tcPr>
            <w:tcW w:w="235"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二</w:t>
            </w:r>
          </w:p>
        </w:tc>
        <w:tc>
          <w:tcPr>
            <w:tcW w:w="388"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深化水利工程供水价格改革</w:t>
            </w:r>
          </w:p>
        </w:tc>
        <w:tc>
          <w:tcPr>
            <w:tcW w:w="533"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4.</w:t>
            </w:r>
            <w:r w:rsidRPr="005658D6">
              <w:rPr>
                <w:rFonts w:ascii="Times New Roman" w:hAnsi="宋体"/>
                <w:color w:val="000000" w:themeColor="text1"/>
                <w:kern w:val="0"/>
                <w:szCs w:val="21"/>
              </w:rPr>
              <w:t>建立健全定价机制</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重新核定我市大中型引黄灌区骨干工程等承接的省属水利工程供水价格。</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市水利局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2022</w:t>
            </w:r>
            <w:r w:rsidRPr="005658D6">
              <w:rPr>
                <w:rFonts w:ascii="Times New Roman" w:hAnsi="宋体"/>
                <w:color w:val="000000" w:themeColor="text1"/>
                <w:kern w:val="0"/>
                <w:szCs w:val="21"/>
              </w:rPr>
              <w:t>年年底前</w:t>
            </w:r>
          </w:p>
        </w:tc>
      </w:tr>
      <w:tr w:rsidR="00BC2431" w:rsidRPr="005658D6" w:rsidTr="00D16FB7">
        <w:trPr>
          <w:trHeight w:val="622"/>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鼓励有条件的水利工程实行供需双方协商定价。</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市水利局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长期</w:t>
            </w:r>
          </w:p>
        </w:tc>
      </w:tr>
      <w:tr w:rsidR="00BC2431" w:rsidRPr="005658D6" w:rsidTr="00D16FB7">
        <w:trPr>
          <w:trHeight w:val="1281"/>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5.</w:t>
            </w:r>
            <w:r w:rsidRPr="005658D6">
              <w:rPr>
                <w:rFonts w:ascii="Times New Roman" w:hAnsi="宋体"/>
                <w:color w:val="000000" w:themeColor="text1"/>
                <w:kern w:val="0"/>
                <w:szCs w:val="21"/>
              </w:rPr>
              <w:t>推行</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两部制</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水价制度</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对新建水利工程和具备条件的原有水利工程供水，实行基本水价和计量水价相结合的</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两部制</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水价制度。</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市水利局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2025</w:t>
            </w:r>
            <w:r w:rsidRPr="005658D6">
              <w:rPr>
                <w:rFonts w:ascii="Times New Roman" w:hAnsi="宋体"/>
                <w:color w:val="000000" w:themeColor="text1"/>
                <w:kern w:val="0"/>
                <w:szCs w:val="21"/>
              </w:rPr>
              <w:t>年年底前</w:t>
            </w:r>
          </w:p>
        </w:tc>
      </w:tr>
      <w:tr w:rsidR="00BC2431" w:rsidRPr="005658D6" w:rsidTr="00D16FB7">
        <w:trPr>
          <w:trHeight w:val="998"/>
        </w:trPr>
        <w:tc>
          <w:tcPr>
            <w:tcW w:w="235"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二</w:t>
            </w:r>
          </w:p>
        </w:tc>
        <w:tc>
          <w:tcPr>
            <w:tcW w:w="388"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深化水利工程供水价格改革</w:t>
            </w:r>
          </w:p>
        </w:tc>
        <w:tc>
          <w:tcPr>
            <w:tcW w:w="533"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6.</w:t>
            </w:r>
            <w:r w:rsidRPr="005658D6">
              <w:rPr>
                <w:rFonts w:ascii="Times New Roman" w:hAnsi="宋体"/>
                <w:color w:val="000000" w:themeColor="text1"/>
                <w:kern w:val="0"/>
                <w:szCs w:val="21"/>
              </w:rPr>
              <w:t>推进区域综合水价改革</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组建多水源供水管理平台，统一管理供水市场。完善区域供水工程体系和计量体系建设，提高多水源供水保障能力。</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市水利局</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市财政局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2023</w:t>
            </w:r>
            <w:r w:rsidRPr="005658D6">
              <w:rPr>
                <w:rFonts w:ascii="Times New Roman" w:hAnsi="宋体"/>
                <w:color w:val="000000" w:themeColor="text1"/>
                <w:kern w:val="0"/>
                <w:szCs w:val="21"/>
              </w:rPr>
              <w:t>年年底前</w:t>
            </w:r>
          </w:p>
        </w:tc>
      </w:tr>
      <w:tr w:rsidR="00BC2431" w:rsidRPr="005658D6" w:rsidTr="00D16FB7">
        <w:trPr>
          <w:trHeight w:val="743"/>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依据本地水与外调水、地表水与地下水等不同水源供应比例，综合核定同一价格。</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市水利局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2025</w:t>
            </w:r>
            <w:r w:rsidRPr="005658D6">
              <w:rPr>
                <w:rFonts w:ascii="Times New Roman" w:hAnsi="宋体"/>
                <w:color w:val="000000" w:themeColor="text1"/>
                <w:kern w:val="0"/>
                <w:szCs w:val="21"/>
              </w:rPr>
              <w:t>年年底前</w:t>
            </w:r>
          </w:p>
        </w:tc>
      </w:tr>
      <w:tr w:rsidR="00BC2431" w:rsidRPr="005658D6" w:rsidTr="00D16FB7">
        <w:trPr>
          <w:trHeight w:val="900"/>
        </w:trPr>
        <w:tc>
          <w:tcPr>
            <w:tcW w:w="235"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三</w:t>
            </w:r>
          </w:p>
        </w:tc>
        <w:tc>
          <w:tcPr>
            <w:tcW w:w="388"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深入推进农业水价综合改革</w:t>
            </w:r>
          </w:p>
        </w:tc>
        <w:tc>
          <w:tcPr>
            <w:tcW w:w="533"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7.</w:t>
            </w:r>
            <w:r w:rsidRPr="005658D6">
              <w:rPr>
                <w:rFonts w:ascii="Times New Roman" w:hAnsi="宋体"/>
                <w:color w:val="000000" w:themeColor="text1"/>
                <w:kern w:val="0"/>
                <w:szCs w:val="21"/>
              </w:rPr>
              <w:t>完善农业水价形成机制</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对</w:t>
            </w:r>
            <w:r w:rsidRPr="005658D6">
              <w:rPr>
                <w:rFonts w:ascii="Times New Roman" w:hAnsi="Times New Roman"/>
                <w:color w:val="000000" w:themeColor="text1"/>
                <w:kern w:val="0"/>
                <w:szCs w:val="21"/>
              </w:rPr>
              <w:t>2016</w:t>
            </w:r>
            <w:r w:rsidRPr="005658D6">
              <w:rPr>
                <w:rFonts w:ascii="Times New Roman" w:hAnsi="宋体"/>
                <w:color w:val="000000" w:themeColor="text1"/>
                <w:kern w:val="0"/>
                <w:szCs w:val="21"/>
              </w:rPr>
              <w:t>年以来未开展过成本监审的大中型灌区骨干工程，以及其他实行政府定价的农田水利工程和设施，完成成本监审工作。</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市水利局、市农业农村局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2022</w:t>
            </w:r>
            <w:r w:rsidRPr="005658D6">
              <w:rPr>
                <w:rFonts w:ascii="Times New Roman" w:hAnsi="宋体"/>
                <w:color w:val="000000" w:themeColor="text1"/>
                <w:kern w:val="0"/>
                <w:szCs w:val="21"/>
              </w:rPr>
              <w:t>年年底前</w:t>
            </w:r>
          </w:p>
        </w:tc>
      </w:tr>
      <w:tr w:rsidR="00BC2431" w:rsidRPr="005658D6" w:rsidTr="00D16FB7">
        <w:trPr>
          <w:trHeight w:val="541"/>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全面完成农业水价综合改革任务。</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市水利局</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市发展改革委、市财政局、市农业农村局等部门</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2022</w:t>
            </w:r>
            <w:r w:rsidRPr="005658D6">
              <w:rPr>
                <w:rFonts w:ascii="Times New Roman" w:hAnsi="宋体"/>
                <w:color w:val="000000" w:themeColor="text1"/>
                <w:kern w:val="0"/>
                <w:szCs w:val="21"/>
              </w:rPr>
              <w:t>年年底前</w:t>
            </w:r>
          </w:p>
        </w:tc>
      </w:tr>
      <w:tr w:rsidR="00BC2431" w:rsidRPr="005658D6" w:rsidTr="00D16FB7">
        <w:trPr>
          <w:trHeight w:val="1320"/>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8.</w:t>
            </w:r>
            <w:r w:rsidRPr="005658D6">
              <w:rPr>
                <w:rFonts w:ascii="Times New Roman" w:hAnsi="宋体"/>
                <w:color w:val="000000" w:themeColor="text1"/>
                <w:kern w:val="0"/>
                <w:szCs w:val="21"/>
              </w:rPr>
              <w:t>不断强化用水管理体制</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严格落实农业灌溉用水总量控制和定额（计划）管理，将用水总量逐级细化分解，明确水权，有条件的地区要加快推动农业水权交易，积极探索跨行业转让，最大限度发挥水资源价值。</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市水利局</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市发展改革委、市财政局、市农业农村局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2025</w:t>
            </w:r>
            <w:r w:rsidRPr="005658D6">
              <w:rPr>
                <w:rFonts w:ascii="Times New Roman" w:hAnsi="宋体"/>
                <w:color w:val="000000" w:themeColor="text1"/>
                <w:kern w:val="0"/>
                <w:szCs w:val="21"/>
              </w:rPr>
              <w:t>年年底前</w:t>
            </w:r>
          </w:p>
        </w:tc>
      </w:tr>
      <w:tr w:rsidR="00BC2431" w:rsidRPr="005658D6" w:rsidTr="00D16FB7">
        <w:trPr>
          <w:trHeight w:val="818"/>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坚持</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多用水多付费</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，对超定额（计划）用水实施累进加价制度</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市水利局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2025</w:t>
            </w:r>
            <w:r w:rsidRPr="005658D6">
              <w:rPr>
                <w:rFonts w:ascii="Times New Roman" w:hAnsi="宋体"/>
                <w:color w:val="000000" w:themeColor="text1"/>
                <w:kern w:val="0"/>
                <w:szCs w:val="21"/>
              </w:rPr>
              <w:t>年年底前</w:t>
            </w:r>
          </w:p>
        </w:tc>
      </w:tr>
      <w:tr w:rsidR="00BC2431" w:rsidRPr="005658D6" w:rsidTr="00D16FB7">
        <w:trPr>
          <w:trHeight w:val="863"/>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养殖业用水价格采用渐进提价原则，将用水价格提高到完全成本以上，推广节水型畜禽养殖技术和发展新模式。</w:t>
            </w:r>
          </w:p>
        </w:tc>
        <w:tc>
          <w:tcPr>
            <w:tcW w:w="653" w:type="pct"/>
            <w:vAlign w:val="center"/>
            <w:hideMark/>
          </w:tcPr>
          <w:p w:rsidR="00BC2431" w:rsidRPr="00910373" w:rsidRDefault="00BC2431" w:rsidP="00D16FB7">
            <w:pPr>
              <w:widowControl/>
              <w:rPr>
                <w:rFonts w:ascii="Times New Roman" w:hAnsi="宋体"/>
                <w:color w:val="000000" w:themeColor="text1"/>
                <w:kern w:val="0"/>
                <w:szCs w:val="21"/>
              </w:rPr>
            </w:pPr>
            <w:r w:rsidRPr="005658D6">
              <w:rPr>
                <w:rFonts w:ascii="Times New Roman" w:hAnsi="宋体"/>
                <w:color w:val="000000" w:themeColor="text1"/>
                <w:kern w:val="0"/>
                <w:szCs w:val="21"/>
              </w:rPr>
              <w:t>市农业农村局、</w:t>
            </w:r>
          </w:p>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市畜牧兽医事业发展服务中心</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市发展改革委、市水利局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2025</w:t>
            </w:r>
            <w:r w:rsidRPr="005658D6">
              <w:rPr>
                <w:rFonts w:ascii="Times New Roman" w:hAnsi="宋体"/>
                <w:color w:val="000000" w:themeColor="text1"/>
                <w:kern w:val="0"/>
                <w:szCs w:val="21"/>
              </w:rPr>
              <w:t>年年底前</w:t>
            </w:r>
          </w:p>
        </w:tc>
      </w:tr>
      <w:tr w:rsidR="00BC2431" w:rsidRPr="005658D6" w:rsidTr="00D16FB7">
        <w:trPr>
          <w:trHeight w:val="906"/>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9.</w:t>
            </w:r>
            <w:r w:rsidRPr="005658D6">
              <w:rPr>
                <w:rFonts w:ascii="Times New Roman" w:hAnsi="宋体"/>
                <w:color w:val="000000" w:themeColor="text1"/>
                <w:kern w:val="0"/>
                <w:szCs w:val="21"/>
              </w:rPr>
              <w:t>持续优化工程建设</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加快完善计量体系建设。新建、改扩建工程要同步建设计量设施，尚未配备计量设施的已建工程，要分期分批改造，实行农业灌溉计量水价。</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市水利局</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市发展改革委、市财政局、市农业农村局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2023</w:t>
            </w:r>
            <w:r w:rsidRPr="005658D6">
              <w:rPr>
                <w:rFonts w:ascii="Times New Roman" w:hAnsi="宋体"/>
                <w:color w:val="000000" w:themeColor="text1"/>
                <w:kern w:val="0"/>
                <w:szCs w:val="21"/>
              </w:rPr>
              <w:t>年年底前</w:t>
            </w:r>
          </w:p>
        </w:tc>
      </w:tr>
      <w:tr w:rsidR="00BC2431" w:rsidRPr="005658D6" w:rsidTr="00D16FB7">
        <w:trPr>
          <w:trHeight w:val="818"/>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持续推进高标准农田、同步发展高效节水灌溉项目区的水利设施建设。</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市农业农村局</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市财政局、市水利局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长期</w:t>
            </w:r>
          </w:p>
        </w:tc>
      </w:tr>
      <w:tr w:rsidR="00BC2431" w:rsidRPr="005658D6" w:rsidTr="00D16FB7">
        <w:trPr>
          <w:trHeight w:val="1112"/>
        </w:trPr>
        <w:tc>
          <w:tcPr>
            <w:tcW w:w="23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三</w:t>
            </w:r>
          </w:p>
        </w:tc>
        <w:tc>
          <w:tcPr>
            <w:tcW w:w="38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深入推进农业水价综合改革</w:t>
            </w:r>
          </w:p>
        </w:tc>
        <w:tc>
          <w:tcPr>
            <w:tcW w:w="53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10.</w:t>
            </w:r>
            <w:r w:rsidRPr="005658D6">
              <w:rPr>
                <w:rFonts w:ascii="Times New Roman" w:hAnsi="宋体"/>
                <w:color w:val="000000" w:themeColor="text1"/>
                <w:kern w:val="0"/>
                <w:szCs w:val="21"/>
              </w:rPr>
              <w:t>进一步健全精准补贴和节水奖励机制</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制定农业用水精准补贴和节水奖励办法。</w:t>
            </w:r>
          </w:p>
        </w:tc>
        <w:tc>
          <w:tcPr>
            <w:tcW w:w="653" w:type="pct"/>
            <w:vAlign w:val="center"/>
            <w:hideMark/>
          </w:tcPr>
          <w:p w:rsidR="00BC2431" w:rsidRPr="00910373" w:rsidRDefault="00BC2431" w:rsidP="00D16FB7">
            <w:pPr>
              <w:widowControl/>
              <w:rPr>
                <w:rFonts w:ascii="Times New Roman" w:hAnsi="宋体"/>
                <w:color w:val="000000" w:themeColor="text1"/>
                <w:kern w:val="0"/>
                <w:szCs w:val="21"/>
              </w:rPr>
            </w:pPr>
            <w:r w:rsidRPr="005658D6">
              <w:rPr>
                <w:rFonts w:ascii="Times New Roman" w:hAnsi="宋体"/>
                <w:color w:val="000000" w:themeColor="text1"/>
                <w:kern w:val="0"/>
                <w:szCs w:val="21"/>
              </w:rPr>
              <w:t>市财政局、</w:t>
            </w:r>
          </w:p>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市水利局</w:t>
            </w:r>
          </w:p>
        </w:tc>
        <w:tc>
          <w:tcPr>
            <w:tcW w:w="897" w:type="pct"/>
            <w:vAlign w:val="center"/>
            <w:hideMark/>
          </w:tcPr>
          <w:p w:rsidR="00BC2431" w:rsidRPr="00910373" w:rsidRDefault="00BC2431" w:rsidP="00D16FB7">
            <w:pPr>
              <w:widowControl/>
              <w:rPr>
                <w:rFonts w:ascii="Times New Roman" w:hAnsi="宋体"/>
                <w:color w:val="000000" w:themeColor="text1"/>
                <w:kern w:val="0"/>
                <w:szCs w:val="21"/>
              </w:rPr>
            </w:pPr>
            <w:r w:rsidRPr="005658D6">
              <w:rPr>
                <w:rFonts w:ascii="Times New Roman" w:hAnsi="宋体"/>
                <w:color w:val="000000" w:themeColor="text1"/>
                <w:kern w:val="0"/>
                <w:szCs w:val="21"/>
              </w:rPr>
              <w:t>市农业农村局、</w:t>
            </w:r>
          </w:p>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2025</w:t>
            </w:r>
            <w:r w:rsidRPr="005658D6">
              <w:rPr>
                <w:rFonts w:ascii="Times New Roman" w:hAnsi="宋体"/>
                <w:color w:val="000000" w:themeColor="text1"/>
                <w:kern w:val="0"/>
                <w:szCs w:val="21"/>
              </w:rPr>
              <w:t>年年底前</w:t>
            </w:r>
          </w:p>
        </w:tc>
      </w:tr>
      <w:tr w:rsidR="00BC2431" w:rsidRPr="005658D6" w:rsidTr="00D16FB7">
        <w:trPr>
          <w:trHeight w:val="1411"/>
        </w:trPr>
        <w:tc>
          <w:tcPr>
            <w:tcW w:w="235"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四</w:t>
            </w:r>
          </w:p>
        </w:tc>
        <w:tc>
          <w:tcPr>
            <w:tcW w:w="388"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加大城乡供水价格改革力度</w:t>
            </w:r>
          </w:p>
        </w:tc>
        <w:tc>
          <w:tcPr>
            <w:tcW w:w="53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11.</w:t>
            </w:r>
            <w:r w:rsidRPr="005658D6">
              <w:rPr>
                <w:rFonts w:ascii="Times New Roman" w:hAnsi="宋体"/>
                <w:color w:val="000000" w:themeColor="text1"/>
                <w:kern w:val="0"/>
                <w:szCs w:val="21"/>
              </w:rPr>
              <w:t>持续深化城镇居民阶梯水价改革</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根据我市城镇居民阶梯水价执行情况和经济社会发展实际，进一步调整城镇居民各阶梯水量、水价，保持居民用水第一阶梯价格稳定，适度拉大分档级差，基本水价按不低于</w:t>
            </w:r>
            <w:r w:rsidRPr="005658D6">
              <w:rPr>
                <w:rFonts w:ascii="Times New Roman" w:hAnsi="Times New Roman"/>
                <w:color w:val="000000" w:themeColor="text1"/>
                <w:kern w:val="0"/>
                <w:szCs w:val="21"/>
              </w:rPr>
              <w:t>1:2:4</w:t>
            </w:r>
            <w:r w:rsidRPr="005658D6">
              <w:rPr>
                <w:rFonts w:ascii="Times New Roman" w:hAnsi="宋体"/>
                <w:color w:val="000000" w:themeColor="text1"/>
                <w:kern w:val="0"/>
                <w:szCs w:val="21"/>
              </w:rPr>
              <w:t>比例核定。</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BC2431" w:rsidRPr="00910373" w:rsidRDefault="00BC2431" w:rsidP="00D16FB7">
            <w:pPr>
              <w:widowControl/>
              <w:rPr>
                <w:rFonts w:ascii="Times New Roman" w:hAnsi="宋体"/>
                <w:color w:val="000000" w:themeColor="text1"/>
                <w:kern w:val="0"/>
                <w:szCs w:val="21"/>
              </w:rPr>
            </w:pPr>
            <w:r w:rsidRPr="005658D6">
              <w:rPr>
                <w:rFonts w:ascii="Times New Roman" w:hAnsi="宋体"/>
                <w:color w:val="000000" w:themeColor="text1"/>
                <w:kern w:val="0"/>
                <w:szCs w:val="21"/>
              </w:rPr>
              <w:t>市住房城乡建设局、</w:t>
            </w:r>
          </w:p>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市公用事业服务中心</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2025</w:t>
            </w:r>
            <w:r w:rsidRPr="005658D6">
              <w:rPr>
                <w:rFonts w:ascii="Times New Roman" w:hAnsi="宋体"/>
                <w:color w:val="000000" w:themeColor="text1"/>
                <w:kern w:val="0"/>
                <w:szCs w:val="21"/>
              </w:rPr>
              <w:t>年年底前</w:t>
            </w:r>
          </w:p>
        </w:tc>
      </w:tr>
      <w:tr w:rsidR="00BC2431" w:rsidRPr="005658D6" w:rsidTr="00D16FB7">
        <w:trPr>
          <w:trHeight w:val="1544"/>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12.</w:t>
            </w:r>
            <w:r w:rsidRPr="005658D6">
              <w:rPr>
                <w:rFonts w:ascii="Times New Roman" w:hAnsi="宋体"/>
                <w:color w:val="000000" w:themeColor="text1"/>
                <w:kern w:val="0"/>
                <w:szCs w:val="21"/>
              </w:rPr>
              <w:t>完善非居民用水超定额（计划）累进加价制度</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完善城镇非居民用水超定额累进加价制度，从严核定下达用水计划，提高加价标准。对</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两高</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（高耗能、高污染）行业，实行更严厉的加价政策。</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市住房城乡建设局、市水利局、市生态环境局、市公用事业服务中心</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2023</w:t>
            </w:r>
            <w:r w:rsidRPr="005658D6">
              <w:rPr>
                <w:rFonts w:ascii="Times New Roman" w:hAnsi="宋体"/>
                <w:color w:val="000000" w:themeColor="text1"/>
                <w:kern w:val="0"/>
                <w:szCs w:val="21"/>
              </w:rPr>
              <w:t>年年底前</w:t>
            </w:r>
          </w:p>
        </w:tc>
      </w:tr>
      <w:tr w:rsidR="00BC2431" w:rsidRPr="005658D6" w:rsidTr="00D16FB7">
        <w:trPr>
          <w:trHeight w:val="1567"/>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13.</w:t>
            </w:r>
            <w:r w:rsidRPr="005658D6">
              <w:rPr>
                <w:rFonts w:ascii="Times New Roman" w:hAnsi="宋体"/>
                <w:color w:val="000000" w:themeColor="text1"/>
                <w:kern w:val="0"/>
                <w:szCs w:val="21"/>
              </w:rPr>
              <w:t>切实推进差别化水价政策</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将差别化水价加价行业范围扩大到所有淘汰类、限制类和</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亩产效益</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评价</w:t>
            </w:r>
            <w:r w:rsidRPr="005658D6">
              <w:rPr>
                <w:rFonts w:ascii="Times New Roman" w:hAnsi="Times New Roman"/>
                <w:color w:val="000000" w:themeColor="text1"/>
                <w:kern w:val="0"/>
                <w:szCs w:val="21"/>
              </w:rPr>
              <w:t>D</w:t>
            </w:r>
            <w:r w:rsidRPr="005658D6">
              <w:rPr>
                <w:rFonts w:ascii="Times New Roman" w:hAnsi="宋体"/>
                <w:color w:val="000000" w:themeColor="text1"/>
                <w:kern w:val="0"/>
                <w:szCs w:val="21"/>
              </w:rPr>
              <w:t>类企业，用水价格按高于定额（计划）水价</w:t>
            </w:r>
            <w:r w:rsidRPr="005658D6">
              <w:rPr>
                <w:rFonts w:ascii="Times New Roman" w:hAnsi="Times New Roman"/>
                <w:color w:val="000000" w:themeColor="text1"/>
                <w:kern w:val="0"/>
                <w:szCs w:val="21"/>
              </w:rPr>
              <w:t>3</w:t>
            </w:r>
            <w:r w:rsidRPr="005658D6">
              <w:rPr>
                <w:rFonts w:ascii="Times New Roman" w:hAnsi="宋体"/>
                <w:color w:val="000000" w:themeColor="text1"/>
                <w:kern w:val="0"/>
                <w:szCs w:val="21"/>
              </w:rPr>
              <w:t>倍标准核定，建立差别化水价纳入和退出机制，促进工业节水减排。</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市工业和信息化局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2023</w:t>
            </w:r>
            <w:r w:rsidRPr="005658D6">
              <w:rPr>
                <w:rFonts w:ascii="Times New Roman" w:hAnsi="宋体"/>
                <w:color w:val="000000" w:themeColor="text1"/>
                <w:kern w:val="0"/>
                <w:szCs w:val="21"/>
              </w:rPr>
              <w:t>年年底前</w:t>
            </w:r>
          </w:p>
        </w:tc>
      </w:tr>
      <w:tr w:rsidR="00BC2431" w:rsidRPr="005658D6" w:rsidTr="00D16FB7">
        <w:trPr>
          <w:trHeight w:val="1391"/>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14.</w:t>
            </w:r>
            <w:r w:rsidRPr="005658D6">
              <w:rPr>
                <w:rFonts w:ascii="Times New Roman" w:hAnsi="宋体"/>
                <w:color w:val="000000" w:themeColor="text1"/>
                <w:kern w:val="0"/>
                <w:szCs w:val="21"/>
              </w:rPr>
              <w:t>建立城乡用水节约奖励制度</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实行超定额（计划）用水累进加价和差别化水价形成的收入主要用于开展节约用水工作，可提取</w:t>
            </w:r>
            <w:r w:rsidRPr="005658D6">
              <w:rPr>
                <w:rFonts w:ascii="Times New Roman" w:hAnsi="Times New Roman"/>
                <w:color w:val="000000" w:themeColor="text1"/>
                <w:kern w:val="0"/>
                <w:szCs w:val="21"/>
              </w:rPr>
              <w:t>30%</w:t>
            </w:r>
            <w:r w:rsidRPr="005658D6">
              <w:rPr>
                <w:rFonts w:ascii="Times New Roman" w:hAnsi="宋体"/>
                <w:color w:val="000000" w:themeColor="text1"/>
                <w:kern w:val="0"/>
                <w:szCs w:val="21"/>
              </w:rPr>
              <w:t>奖励节水成效突出的企业，促进企业节水技术改造、节水技术工艺推广。</w:t>
            </w:r>
          </w:p>
        </w:tc>
        <w:tc>
          <w:tcPr>
            <w:tcW w:w="653" w:type="pct"/>
            <w:vAlign w:val="center"/>
            <w:hideMark/>
          </w:tcPr>
          <w:p w:rsidR="00BC2431" w:rsidRPr="00910373" w:rsidRDefault="00BC2431" w:rsidP="00D16FB7">
            <w:pPr>
              <w:widowControl/>
              <w:rPr>
                <w:rFonts w:ascii="Times New Roman" w:hAnsi="宋体"/>
                <w:color w:val="000000" w:themeColor="text1"/>
                <w:kern w:val="0"/>
                <w:szCs w:val="21"/>
              </w:rPr>
            </w:pPr>
            <w:r w:rsidRPr="005658D6">
              <w:rPr>
                <w:rFonts w:ascii="Times New Roman" w:hAnsi="宋体"/>
                <w:color w:val="000000" w:themeColor="text1"/>
                <w:kern w:val="0"/>
                <w:szCs w:val="21"/>
              </w:rPr>
              <w:t>市住房城乡</w:t>
            </w:r>
          </w:p>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建设局</w:t>
            </w:r>
          </w:p>
        </w:tc>
        <w:tc>
          <w:tcPr>
            <w:tcW w:w="897" w:type="pct"/>
            <w:vAlign w:val="center"/>
            <w:hideMark/>
          </w:tcPr>
          <w:p w:rsidR="00BC2431" w:rsidRPr="00910373" w:rsidRDefault="00BC2431" w:rsidP="00D16FB7">
            <w:pPr>
              <w:widowControl/>
              <w:rPr>
                <w:rFonts w:ascii="Times New Roman" w:hAnsi="宋体"/>
                <w:color w:val="000000" w:themeColor="text1"/>
                <w:kern w:val="0"/>
                <w:szCs w:val="21"/>
              </w:rPr>
            </w:pPr>
            <w:r w:rsidRPr="005658D6">
              <w:rPr>
                <w:rFonts w:ascii="Times New Roman" w:hAnsi="宋体"/>
                <w:color w:val="000000" w:themeColor="text1"/>
                <w:kern w:val="0"/>
                <w:szCs w:val="21"/>
              </w:rPr>
              <w:t>市工业和信息化局、</w:t>
            </w:r>
          </w:p>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市水利局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2025</w:t>
            </w:r>
            <w:r w:rsidRPr="005658D6">
              <w:rPr>
                <w:rFonts w:ascii="Times New Roman" w:hAnsi="宋体"/>
                <w:color w:val="000000" w:themeColor="text1"/>
                <w:kern w:val="0"/>
                <w:szCs w:val="21"/>
              </w:rPr>
              <w:t>年年底前</w:t>
            </w:r>
          </w:p>
        </w:tc>
      </w:tr>
      <w:tr w:rsidR="00BC2431" w:rsidRPr="005658D6" w:rsidTr="00D16FB7">
        <w:trPr>
          <w:trHeight w:val="1127"/>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15.</w:t>
            </w:r>
            <w:r w:rsidRPr="005658D6">
              <w:rPr>
                <w:rFonts w:ascii="Times New Roman" w:hAnsi="宋体"/>
                <w:color w:val="000000" w:themeColor="text1"/>
                <w:kern w:val="0"/>
                <w:szCs w:val="21"/>
              </w:rPr>
              <w:t>加强农村公共供水价格管理</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遵循</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群众接受、补偿成本、合理收益</w:t>
            </w:r>
            <w:r w:rsidRPr="005658D6">
              <w:rPr>
                <w:rFonts w:ascii="Times New Roman" w:hAnsi="Times New Roman"/>
                <w:color w:val="000000" w:themeColor="text1"/>
                <w:kern w:val="0"/>
                <w:szCs w:val="21"/>
              </w:rPr>
              <w:t>”</w:t>
            </w:r>
            <w:r w:rsidRPr="005658D6">
              <w:rPr>
                <w:rFonts w:ascii="Times New Roman" w:hAnsi="宋体"/>
                <w:color w:val="000000" w:themeColor="text1"/>
                <w:kern w:val="0"/>
                <w:szCs w:val="21"/>
              </w:rPr>
              <w:t>的原则，确定到村、到户水价</w:t>
            </w:r>
          </w:p>
        </w:tc>
        <w:tc>
          <w:tcPr>
            <w:tcW w:w="653" w:type="pct"/>
            <w:vAlign w:val="center"/>
            <w:hideMark/>
          </w:tcPr>
          <w:p w:rsidR="00BC2431" w:rsidRPr="00910373" w:rsidRDefault="00BC2431" w:rsidP="00D16FB7">
            <w:pPr>
              <w:widowControl/>
              <w:rPr>
                <w:rFonts w:ascii="Times New Roman" w:hAnsi="宋体"/>
                <w:color w:val="000000" w:themeColor="text1"/>
                <w:kern w:val="0"/>
                <w:szCs w:val="21"/>
              </w:rPr>
            </w:pPr>
            <w:r w:rsidRPr="005658D6">
              <w:rPr>
                <w:rFonts w:ascii="Times New Roman" w:hAnsi="宋体"/>
                <w:color w:val="000000" w:themeColor="text1"/>
                <w:kern w:val="0"/>
                <w:szCs w:val="21"/>
              </w:rPr>
              <w:t>市发展改革委、</w:t>
            </w:r>
          </w:p>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市水利局</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 xml:space="preserve">　</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长期</w:t>
            </w:r>
          </w:p>
        </w:tc>
      </w:tr>
      <w:tr w:rsidR="00BC2431" w:rsidRPr="005658D6" w:rsidTr="00D16FB7">
        <w:trPr>
          <w:trHeight w:val="2543"/>
        </w:trPr>
        <w:tc>
          <w:tcPr>
            <w:tcW w:w="23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四</w:t>
            </w:r>
          </w:p>
        </w:tc>
        <w:tc>
          <w:tcPr>
            <w:tcW w:w="38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加大城乡供水价格改革力度</w:t>
            </w:r>
          </w:p>
        </w:tc>
        <w:tc>
          <w:tcPr>
            <w:tcW w:w="53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16.</w:t>
            </w:r>
            <w:r w:rsidRPr="005658D6">
              <w:rPr>
                <w:rFonts w:ascii="Times New Roman" w:hAnsi="宋体"/>
                <w:color w:val="000000" w:themeColor="text1"/>
                <w:kern w:val="0"/>
                <w:szCs w:val="21"/>
              </w:rPr>
              <w:t>加大再生水利用力度</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加大城镇再生水利用管网建设，将再生水利用纳入水资源统一调配。再生水价格由供需双方按照优质优价的原则协商确定，实行价格累退。对具备再生水供应条件的工业园区，提高再生水使用比例，高耗水企业冷却循环再生水使用比例不得低于</w:t>
            </w:r>
            <w:r w:rsidRPr="005658D6">
              <w:rPr>
                <w:rFonts w:ascii="Times New Roman" w:hAnsi="Times New Roman"/>
                <w:color w:val="000000" w:themeColor="text1"/>
                <w:kern w:val="0"/>
                <w:szCs w:val="21"/>
              </w:rPr>
              <w:t>20%</w:t>
            </w:r>
            <w:r w:rsidRPr="005658D6">
              <w:rPr>
                <w:rFonts w:ascii="Times New Roman" w:hAnsi="宋体"/>
                <w:color w:val="000000" w:themeColor="text1"/>
                <w:kern w:val="0"/>
                <w:szCs w:val="21"/>
              </w:rPr>
              <w:t>，并逐年降低生产用原水和自来水供应量。推动园林绿化、道路清扫、消防及生态用水等公共领域使用再生水。</w:t>
            </w:r>
          </w:p>
        </w:tc>
        <w:tc>
          <w:tcPr>
            <w:tcW w:w="653" w:type="pct"/>
            <w:vAlign w:val="center"/>
            <w:hideMark/>
          </w:tcPr>
          <w:p w:rsidR="00BC2431" w:rsidRDefault="00BC2431" w:rsidP="00D16FB7">
            <w:pPr>
              <w:widowControl/>
              <w:rPr>
                <w:rFonts w:ascii="Times New Roman" w:hAnsi="宋体"/>
                <w:color w:val="000000" w:themeColor="text1"/>
                <w:kern w:val="0"/>
                <w:szCs w:val="21"/>
              </w:rPr>
            </w:pPr>
            <w:r w:rsidRPr="005658D6">
              <w:rPr>
                <w:rFonts w:ascii="Times New Roman" w:hAnsi="宋体"/>
                <w:color w:val="000000" w:themeColor="text1"/>
                <w:kern w:val="0"/>
                <w:szCs w:val="21"/>
              </w:rPr>
              <w:t>市发展改革委、市生态环境局、市住房城乡建设局、市城市管理局等部门按职责分工</w:t>
            </w:r>
          </w:p>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负责</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 xml:space="preserve">　</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2025</w:t>
            </w:r>
            <w:r w:rsidRPr="005658D6">
              <w:rPr>
                <w:rFonts w:ascii="Times New Roman" w:hAnsi="宋体"/>
                <w:color w:val="000000" w:themeColor="text1"/>
                <w:kern w:val="0"/>
                <w:szCs w:val="21"/>
              </w:rPr>
              <w:t>年年底前</w:t>
            </w:r>
          </w:p>
        </w:tc>
      </w:tr>
      <w:tr w:rsidR="00BC2431" w:rsidRPr="005658D6" w:rsidTr="00D16FB7">
        <w:trPr>
          <w:trHeight w:val="1189"/>
        </w:trPr>
        <w:tc>
          <w:tcPr>
            <w:tcW w:w="235"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五</w:t>
            </w:r>
          </w:p>
        </w:tc>
        <w:tc>
          <w:tcPr>
            <w:tcW w:w="388"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完善污水处理收费制度</w:t>
            </w:r>
          </w:p>
        </w:tc>
        <w:tc>
          <w:tcPr>
            <w:tcW w:w="533" w:type="pct"/>
            <w:vMerge w:val="restar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17.</w:t>
            </w:r>
            <w:r w:rsidRPr="005658D6">
              <w:rPr>
                <w:rFonts w:ascii="Times New Roman" w:hAnsi="宋体"/>
                <w:color w:val="000000" w:themeColor="text1"/>
                <w:kern w:val="0"/>
                <w:szCs w:val="21"/>
              </w:rPr>
              <w:t>定期评估、动态调整污水处理费政策</w:t>
            </w: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逐步使污水处理费标准能够覆盖污水处理设施运营和污泥处理处置成本并合理盈利，达到城市污水处理费标准与污水处理服务费标准相当</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市财政局、市城市管理局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Times New Roman"/>
                <w:color w:val="000000" w:themeColor="text1"/>
                <w:kern w:val="0"/>
                <w:szCs w:val="21"/>
              </w:rPr>
              <w:t>2025</w:t>
            </w:r>
            <w:r w:rsidRPr="005658D6">
              <w:rPr>
                <w:rFonts w:ascii="Times New Roman" w:hAnsi="宋体"/>
                <w:color w:val="000000" w:themeColor="text1"/>
                <w:kern w:val="0"/>
                <w:szCs w:val="21"/>
              </w:rPr>
              <w:t>年年底前</w:t>
            </w:r>
          </w:p>
        </w:tc>
      </w:tr>
      <w:tr w:rsidR="00BC2431" w:rsidRPr="005658D6" w:rsidTr="00D16FB7">
        <w:trPr>
          <w:trHeight w:val="924"/>
        </w:trPr>
        <w:tc>
          <w:tcPr>
            <w:tcW w:w="235"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388"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533" w:type="pct"/>
            <w:vMerge/>
            <w:vAlign w:val="center"/>
            <w:hideMark/>
          </w:tcPr>
          <w:p w:rsidR="00BC2431" w:rsidRPr="005658D6" w:rsidRDefault="00BC2431" w:rsidP="00D16FB7">
            <w:pPr>
              <w:widowControl/>
              <w:rPr>
                <w:rFonts w:ascii="Times New Roman" w:hAnsi="Times New Roman"/>
                <w:color w:val="000000" w:themeColor="text1"/>
                <w:kern w:val="0"/>
                <w:szCs w:val="21"/>
              </w:rPr>
            </w:pPr>
          </w:p>
        </w:tc>
        <w:tc>
          <w:tcPr>
            <w:tcW w:w="1718"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支持通过招投标等市场竞争方式，形成污水处理服务费标准。</w:t>
            </w:r>
          </w:p>
        </w:tc>
        <w:tc>
          <w:tcPr>
            <w:tcW w:w="653"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市城市管理局</w:t>
            </w:r>
          </w:p>
        </w:tc>
        <w:tc>
          <w:tcPr>
            <w:tcW w:w="897"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市发展改革委、市财政局</w:t>
            </w:r>
          </w:p>
        </w:tc>
        <w:tc>
          <w:tcPr>
            <w:tcW w:w="575" w:type="pct"/>
            <w:vAlign w:val="center"/>
            <w:hideMark/>
          </w:tcPr>
          <w:p w:rsidR="00BC2431" w:rsidRPr="005658D6" w:rsidRDefault="00BC2431" w:rsidP="00D16FB7">
            <w:pPr>
              <w:widowControl/>
              <w:rPr>
                <w:rFonts w:ascii="Times New Roman" w:hAnsi="Times New Roman"/>
                <w:color w:val="000000" w:themeColor="text1"/>
                <w:kern w:val="0"/>
                <w:szCs w:val="21"/>
              </w:rPr>
            </w:pPr>
            <w:r w:rsidRPr="005658D6">
              <w:rPr>
                <w:rFonts w:ascii="Times New Roman" w:hAnsi="宋体"/>
                <w:color w:val="000000" w:themeColor="text1"/>
                <w:kern w:val="0"/>
                <w:szCs w:val="21"/>
              </w:rPr>
              <w:t>长期</w:t>
            </w:r>
          </w:p>
        </w:tc>
      </w:tr>
    </w:tbl>
    <w:p w:rsidR="00D16ACE" w:rsidRDefault="00D16ACE" w:rsidP="00D16FB7"/>
    <w:sectPr w:rsidR="00D16ACE" w:rsidSect="00D16FB7">
      <w:pgSz w:w="16838" w:h="11906" w:orient="landscape" w:code="9"/>
      <w:pgMar w:top="1588" w:right="1701" w:bottom="1588" w:left="1701" w:header="851" w:footer="1247"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97C" w:rsidRDefault="0064097C">
      <w:r>
        <w:separator/>
      </w:r>
    </w:p>
  </w:endnote>
  <w:endnote w:type="continuationSeparator" w:id="1">
    <w:p w:rsidR="0064097C" w:rsidRDefault="006409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97C" w:rsidRDefault="0064097C">
      <w:r>
        <w:separator/>
      </w:r>
    </w:p>
  </w:footnote>
  <w:footnote w:type="continuationSeparator" w:id="1">
    <w:p w:rsidR="0064097C" w:rsidRDefault="006409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971BC4D8"/>
    <w:rsid w:val="971BC4D8"/>
    <w:rsid w:val="00005FD1"/>
    <w:rsid w:val="00016A02"/>
    <w:rsid w:val="00017797"/>
    <w:rsid w:val="00057204"/>
    <w:rsid w:val="00065305"/>
    <w:rsid w:val="000675BE"/>
    <w:rsid w:val="00071532"/>
    <w:rsid w:val="00076B7F"/>
    <w:rsid w:val="000B116B"/>
    <w:rsid w:val="000E0385"/>
    <w:rsid w:val="000E4426"/>
    <w:rsid w:val="000E49EE"/>
    <w:rsid w:val="000F1618"/>
    <w:rsid w:val="00114ACF"/>
    <w:rsid w:val="00135C00"/>
    <w:rsid w:val="001C2B73"/>
    <w:rsid w:val="001C7535"/>
    <w:rsid w:val="001D17E4"/>
    <w:rsid w:val="001D7C0F"/>
    <w:rsid w:val="001E3BAC"/>
    <w:rsid w:val="002019B5"/>
    <w:rsid w:val="00217192"/>
    <w:rsid w:val="00221FE9"/>
    <w:rsid w:val="0022505C"/>
    <w:rsid w:val="00277253"/>
    <w:rsid w:val="00277501"/>
    <w:rsid w:val="00283841"/>
    <w:rsid w:val="002A2DAA"/>
    <w:rsid w:val="002B60E5"/>
    <w:rsid w:val="002C5ED3"/>
    <w:rsid w:val="002D2FA2"/>
    <w:rsid w:val="002D3955"/>
    <w:rsid w:val="002D6264"/>
    <w:rsid w:val="002F3E2E"/>
    <w:rsid w:val="00312C3E"/>
    <w:rsid w:val="00312D4A"/>
    <w:rsid w:val="00330AE7"/>
    <w:rsid w:val="0034011C"/>
    <w:rsid w:val="003411A1"/>
    <w:rsid w:val="003462FB"/>
    <w:rsid w:val="00367C1C"/>
    <w:rsid w:val="003729FA"/>
    <w:rsid w:val="003A6AD6"/>
    <w:rsid w:val="003B322F"/>
    <w:rsid w:val="003C254F"/>
    <w:rsid w:val="003D4BF3"/>
    <w:rsid w:val="003E5E60"/>
    <w:rsid w:val="003F332C"/>
    <w:rsid w:val="00401759"/>
    <w:rsid w:val="00401ADD"/>
    <w:rsid w:val="0041565A"/>
    <w:rsid w:val="00417F52"/>
    <w:rsid w:val="00436339"/>
    <w:rsid w:val="00444B3C"/>
    <w:rsid w:val="00447ECB"/>
    <w:rsid w:val="0046626C"/>
    <w:rsid w:val="00487001"/>
    <w:rsid w:val="004A2ADD"/>
    <w:rsid w:val="004E40A7"/>
    <w:rsid w:val="004F4C84"/>
    <w:rsid w:val="00524493"/>
    <w:rsid w:val="0056042E"/>
    <w:rsid w:val="005615C6"/>
    <w:rsid w:val="00564EA8"/>
    <w:rsid w:val="005658D6"/>
    <w:rsid w:val="00597612"/>
    <w:rsid w:val="00597641"/>
    <w:rsid w:val="005B5FAF"/>
    <w:rsid w:val="005D0632"/>
    <w:rsid w:val="005D7047"/>
    <w:rsid w:val="005E7507"/>
    <w:rsid w:val="00606A0D"/>
    <w:rsid w:val="00621546"/>
    <w:rsid w:val="00622ADA"/>
    <w:rsid w:val="0063105B"/>
    <w:rsid w:val="0064097C"/>
    <w:rsid w:val="006666E4"/>
    <w:rsid w:val="006802F4"/>
    <w:rsid w:val="006829FB"/>
    <w:rsid w:val="006846A0"/>
    <w:rsid w:val="006B0E4B"/>
    <w:rsid w:val="006C1F2D"/>
    <w:rsid w:val="006C663E"/>
    <w:rsid w:val="006D2DD1"/>
    <w:rsid w:val="006E2913"/>
    <w:rsid w:val="006E3692"/>
    <w:rsid w:val="006F3F59"/>
    <w:rsid w:val="006F7824"/>
    <w:rsid w:val="00704A07"/>
    <w:rsid w:val="00766B73"/>
    <w:rsid w:val="00783B76"/>
    <w:rsid w:val="00785F13"/>
    <w:rsid w:val="007A5576"/>
    <w:rsid w:val="007A6E77"/>
    <w:rsid w:val="007B00D3"/>
    <w:rsid w:val="007B3721"/>
    <w:rsid w:val="007B56BA"/>
    <w:rsid w:val="007C1A8E"/>
    <w:rsid w:val="007C6902"/>
    <w:rsid w:val="007D3E28"/>
    <w:rsid w:val="008148D1"/>
    <w:rsid w:val="00815EEA"/>
    <w:rsid w:val="00822C85"/>
    <w:rsid w:val="00827172"/>
    <w:rsid w:val="00883D74"/>
    <w:rsid w:val="00892260"/>
    <w:rsid w:val="00897203"/>
    <w:rsid w:val="008A744B"/>
    <w:rsid w:val="008B0CE9"/>
    <w:rsid w:val="008B105E"/>
    <w:rsid w:val="008D7E0D"/>
    <w:rsid w:val="00905F0D"/>
    <w:rsid w:val="00910373"/>
    <w:rsid w:val="0092030E"/>
    <w:rsid w:val="00923C42"/>
    <w:rsid w:val="009421E3"/>
    <w:rsid w:val="00944271"/>
    <w:rsid w:val="00944AFE"/>
    <w:rsid w:val="009548A8"/>
    <w:rsid w:val="0096430F"/>
    <w:rsid w:val="00981135"/>
    <w:rsid w:val="00982AF4"/>
    <w:rsid w:val="00990E84"/>
    <w:rsid w:val="00991086"/>
    <w:rsid w:val="009B0F04"/>
    <w:rsid w:val="009B592E"/>
    <w:rsid w:val="009E003D"/>
    <w:rsid w:val="009E493D"/>
    <w:rsid w:val="009F726C"/>
    <w:rsid w:val="00A337A5"/>
    <w:rsid w:val="00A52340"/>
    <w:rsid w:val="00A57BBA"/>
    <w:rsid w:val="00A70033"/>
    <w:rsid w:val="00AB1CE7"/>
    <w:rsid w:val="00AC2790"/>
    <w:rsid w:val="00AC2802"/>
    <w:rsid w:val="00B4148F"/>
    <w:rsid w:val="00B53856"/>
    <w:rsid w:val="00B53E99"/>
    <w:rsid w:val="00BC2431"/>
    <w:rsid w:val="00BF03B9"/>
    <w:rsid w:val="00BF62F9"/>
    <w:rsid w:val="00C4075B"/>
    <w:rsid w:val="00CB79D5"/>
    <w:rsid w:val="00CE0152"/>
    <w:rsid w:val="00CF4B1F"/>
    <w:rsid w:val="00D10DBE"/>
    <w:rsid w:val="00D16ACE"/>
    <w:rsid w:val="00D16FB7"/>
    <w:rsid w:val="00D2208F"/>
    <w:rsid w:val="00D260E1"/>
    <w:rsid w:val="00D411CC"/>
    <w:rsid w:val="00D413DB"/>
    <w:rsid w:val="00D57543"/>
    <w:rsid w:val="00DA1367"/>
    <w:rsid w:val="00DA362D"/>
    <w:rsid w:val="00DC1BCA"/>
    <w:rsid w:val="00E05E07"/>
    <w:rsid w:val="00E14D98"/>
    <w:rsid w:val="00E34D84"/>
    <w:rsid w:val="00E366F0"/>
    <w:rsid w:val="00E36752"/>
    <w:rsid w:val="00E61A0B"/>
    <w:rsid w:val="00E71168"/>
    <w:rsid w:val="00EA0EE4"/>
    <w:rsid w:val="00EC00C9"/>
    <w:rsid w:val="00ED226C"/>
    <w:rsid w:val="00EE07EB"/>
    <w:rsid w:val="00F056B0"/>
    <w:rsid w:val="00F15A05"/>
    <w:rsid w:val="00F44EE1"/>
    <w:rsid w:val="00F4605F"/>
    <w:rsid w:val="00F51E13"/>
    <w:rsid w:val="179FE38A"/>
    <w:rsid w:val="42832A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6E3692"/>
    <w:pPr>
      <w:widowControl w:val="0"/>
      <w:jc w:val="both"/>
    </w:pPr>
    <w:rPr>
      <w:kern w:val="2"/>
      <w:sz w:val="21"/>
      <w:szCs w:val="24"/>
    </w:rPr>
  </w:style>
  <w:style w:type="paragraph" w:styleId="2">
    <w:name w:val="heading 2"/>
    <w:basedOn w:val="a"/>
    <w:next w:val="a"/>
    <w:uiPriority w:val="9"/>
    <w:unhideWhenUsed/>
    <w:qFormat/>
    <w:rsid w:val="006E3692"/>
    <w:pPr>
      <w:keepNext/>
      <w:keepLines/>
      <w:spacing w:line="600" w:lineRule="exact"/>
      <w:outlineLvl w:val="1"/>
    </w:pPr>
    <w:rPr>
      <w:rFonts w:ascii="Calibri Light" w:eastAsia="楷体_GB2312" w:hAnsi="Calibri Light"/>
      <w:b/>
      <w:bCs/>
      <w:szCs w:val="32"/>
    </w:rPr>
  </w:style>
  <w:style w:type="paragraph" w:styleId="3">
    <w:name w:val="heading 3"/>
    <w:basedOn w:val="a"/>
    <w:next w:val="a"/>
    <w:qFormat/>
    <w:rsid w:val="006E369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6E3692"/>
    <w:rPr>
      <w:rFonts w:ascii="宋体" w:hAnsi="Courier New"/>
      <w:sz w:val="32"/>
      <w:szCs w:val="20"/>
    </w:rPr>
  </w:style>
  <w:style w:type="paragraph" w:styleId="a4">
    <w:name w:val="footer"/>
    <w:basedOn w:val="a"/>
    <w:link w:val="Char"/>
    <w:uiPriority w:val="99"/>
    <w:qFormat/>
    <w:rsid w:val="006E3692"/>
    <w:pPr>
      <w:tabs>
        <w:tab w:val="center" w:pos="4153"/>
        <w:tab w:val="right" w:pos="8306"/>
      </w:tabs>
      <w:snapToGrid w:val="0"/>
      <w:jc w:val="left"/>
    </w:pPr>
    <w:rPr>
      <w:sz w:val="18"/>
      <w:szCs w:val="18"/>
    </w:rPr>
  </w:style>
  <w:style w:type="paragraph" w:styleId="a5">
    <w:name w:val="header"/>
    <w:basedOn w:val="a"/>
    <w:qFormat/>
    <w:rsid w:val="006E369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rsid w:val="006E3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6E3692"/>
    <w:rPr>
      <w:b/>
    </w:rPr>
  </w:style>
  <w:style w:type="character" w:customStyle="1" w:styleId="Char">
    <w:name w:val="页脚 Char"/>
    <w:basedOn w:val="a0"/>
    <w:link w:val="a4"/>
    <w:uiPriority w:val="99"/>
    <w:rsid w:val="006F7824"/>
    <w:rPr>
      <w:kern w:val="2"/>
      <w:sz w:val="18"/>
      <w:szCs w:val="18"/>
    </w:rPr>
  </w:style>
  <w:style w:type="paragraph" w:styleId="a8">
    <w:name w:val="Balloon Text"/>
    <w:basedOn w:val="a"/>
    <w:link w:val="Char0"/>
    <w:rsid w:val="00447ECB"/>
    <w:rPr>
      <w:sz w:val="18"/>
      <w:szCs w:val="18"/>
    </w:rPr>
  </w:style>
  <w:style w:type="character" w:customStyle="1" w:styleId="Char0">
    <w:name w:val="批注框文本 Char"/>
    <w:basedOn w:val="a0"/>
    <w:link w:val="a8"/>
    <w:rsid w:val="00447EC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2">
    <w:name w:val="heading 2"/>
    <w:basedOn w:val="a"/>
    <w:next w:val="a"/>
    <w:uiPriority w:val="9"/>
    <w:unhideWhenUsed/>
    <w:qFormat/>
    <w:pPr>
      <w:keepNext/>
      <w:keepLines/>
      <w:spacing w:line="600" w:lineRule="exact"/>
      <w:outlineLvl w:val="1"/>
    </w:pPr>
    <w:rPr>
      <w:rFonts w:ascii="Calibri Light" w:eastAsia="楷体_GB2312" w:hAnsi="Calibri Light"/>
      <w:b/>
      <w:bCs/>
      <w:szCs w:val="32"/>
    </w:rPr>
  </w:style>
  <w:style w:type="paragraph" w:styleId="3">
    <w:name w:val="heading 3"/>
    <w:basedOn w:val="a"/>
    <w:next w:val="a"/>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 w:val="32"/>
      <w:szCs w:val="20"/>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customStyle="1" w:styleId="Char">
    <w:name w:val="页脚 Char"/>
    <w:basedOn w:val="a0"/>
    <w:link w:val="a4"/>
    <w:uiPriority w:val="99"/>
    <w:rsid w:val="006F7824"/>
    <w:rPr>
      <w:kern w:val="2"/>
      <w:sz w:val="18"/>
      <w:szCs w:val="18"/>
    </w:rPr>
  </w:style>
</w:styles>
</file>

<file path=word/webSettings.xml><?xml version="1.0" encoding="utf-8"?>
<w:webSettings xmlns:r="http://schemas.openxmlformats.org/officeDocument/2006/relationships" xmlns:w="http://schemas.openxmlformats.org/wordprocessingml/2006/main">
  <w:divs>
    <w:div w:id="160040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91B843-DCBA-413C-ABC8-C826C043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370</Words>
  <Characters>2115</Characters>
  <Application>Microsoft Office Word</Application>
  <DocSecurity>0</DocSecurity>
  <Lines>17</Lines>
  <Paragraphs>4</Paragraphs>
  <ScaleCrop>false</ScaleCrop>
  <Company>2012dnd.com</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jnak</dc:creator>
  <cp:lastModifiedBy>User</cp:lastModifiedBy>
  <cp:revision>2</cp:revision>
  <cp:lastPrinted>2022-08-08T09:01:00Z</cp:lastPrinted>
  <dcterms:created xsi:type="dcterms:W3CDTF">2022-11-16T03:41:00Z</dcterms:created>
  <dcterms:modified xsi:type="dcterms:W3CDTF">2022-11-16T03:41:00Z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6C342BF49975482787903979F4925295</vt:lpwstr>
  </property>
</Properties>
</file>