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37" w:rsidRDefault="00734037">
      <w:pPr>
        <w:widowControl w:val="0"/>
        <w:overflowPunct w:val="0"/>
        <w:rPr>
          <w:rFonts w:ascii="方正小标宋简体" w:eastAsia="方正小标宋简体"/>
          <w:sz w:val="44"/>
          <w:szCs w:val="44"/>
        </w:rPr>
      </w:pPr>
    </w:p>
    <w:p w:rsidR="00734037" w:rsidRDefault="0069147E">
      <w:pPr>
        <w:widowControl w:val="0"/>
        <w:overflowPunct w:val="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>
        <w:rPr>
          <w:rFonts w:ascii="方正小标宋简体" w:eastAsia="方正小标宋简体" w:hint="eastAsia"/>
          <w:sz w:val="44"/>
          <w:szCs w:val="44"/>
        </w:rPr>
        <w:t>对</w:t>
      </w:r>
      <w:r>
        <w:rPr>
          <w:rFonts w:ascii="方正小标宋简体" w:eastAsia="方正小标宋简体" w:hint="eastAsia"/>
          <w:sz w:val="44"/>
          <w:szCs w:val="44"/>
        </w:rPr>
        <w:t>《泰安市产业高地建设实施意见》</w:t>
      </w:r>
    </w:p>
    <w:p w:rsidR="00734037" w:rsidRDefault="0069147E">
      <w:pPr>
        <w:widowControl w:val="0"/>
        <w:overflowPunct w:val="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的</w:t>
      </w:r>
      <w:r>
        <w:rPr>
          <w:rFonts w:ascii="方正小标宋简体" w:eastAsia="方正小标宋简体" w:hint="eastAsia"/>
          <w:sz w:val="44"/>
          <w:szCs w:val="44"/>
        </w:rPr>
        <w:t>政策解读</w:t>
      </w:r>
    </w:p>
    <w:p w:rsidR="00734037" w:rsidRDefault="00734037">
      <w:pPr>
        <w:widowControl w:val="0"/>
        <w:overflowPunct w:val="0"/>
        <w:ind w:firstLineChars="200" w:firstLine="720"/>
        <w:jc w:val="both"/>
        <w:rPr>
          <w:rFonts w:ascii="Times New Roman" w:eastAsia="黑体" w:hAnsi="Times New Roman"/>
          <w:color w:val="000000" w:themeColor="text1"/>
          <w:sz w:val="36"/>
          <w:szCs w:val="36"/>
        </w:rPr>
      </w:pPr>
    </w:p>
    <w:p w:rsidR="00734037" w:rsidRDefault="0069147E">
      <w:pPr>
        <w:widowControl w:val="0"/>
        <w:overflowPunct w:val="0"/>
        <w:ind w:firstLineChars="200" w:firstLine="640"/>
        <w:jc w:val="both"/>
        <w:rPr>
          <w:rFonts w:ascii="Times New Roman" w:eastAsia="黑体" w:hAnsi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hint="eastAsia"/>
          <w:color w:val="000000" w:themeColor="text1"/>
          <w:sz w:val="32"/>
          <w:szCs w:val="32"/>
        </w:rPr>
        <w:t>一、政策文件出台的背景</w:t>
      </w:r>
    </w:p>
    <w:p w:rsidR="00734037" w:rsidRDefault="0069147E">
      <w:pPr>
        <w:widowControl w:val="0"/>
        <w:overflowPunct w:val="0"/>
        <w:ind w:firstLineChars="200" w:firstLine="640"/>
        <w:jc w:val="both"/>
        <w:rPr>
          <w:rFonts w:ascii="Times New Roman" w:eastAsia="黑体" w:hAnsi="Times New Roman"/>
          <w:color w:val="000000" w:themeColor="text1"/>
          <w:sz w:val="32"/>
          <w:szCs w:val="32"/>
        </w:rPr>
      </w:pPr>
      <w:r>
        <w:rPr>
          <w:rFonts w:eastAsia="仿宋_GB2312"/>
          <w:sz w:val="32"/>
          <w:szCs w:val="32"/>
        </w:rPr>
        <w:t>一座城市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发展</w:t>
      </w:r>
      <w:r>
        <w:rPr>
          <w:rFonts w:eastAsia="仿宋_GB2312" w:hint="eastAsia"/>
          <w:sz w:val="32"/>
          <w:szCs w:val="32"/>
        </w:rPr>
        <w:t>，关键</w:t>
      </w:r>
      <w:r>
        <w:rPr>
          <w:rFonts w:eastAsia="仿宋_GB2312"/>
          <w:sz w:val="32"/>
          <w:szCs w:val="32"/>
        </w:rPr>
        <w:t>在产业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根本出路也在产业</w:t>
      </w:r>
      <w:r>
        <w:rPr>
          <w:rFonts w:eastAsia="仿宋_GB2312" w:hint="eastAsia"/>
          <w:sz w:val="32"/>
          <w:szCs w:val="32"/>
        </w:rPr>
        <w:t>，这是强市之基、立市之本</w:t>
      </w:r>
      <w:r>
        <w:rPr>
          <w:rFonts w:eastAsia="仿宋_GB2312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sz w:val="32"/>
          <w:szCs w:val="32"/>
        </w:rPr>
        <w:t>“十四五”时期，</w:t>
      </w:r>
      <w:r>
        <w:rPr>
          <w:rFonts w:ascii="仿宋_GB2312" w:eastAsia="仿宋_GB2312" w:hAnsi="宋体" w:cs="宋体" w:hint="eastAsia"/>
          <w:sz w:val="32"/>
          <w:szCs w:val="32"/>
        </w:rPr>
        <w:t>泰安</w:t>
      </w:r>
      <w:r>
        <w:rPr>
          <w:rFonts w:ascii="仿宋_GB2312" w:eastAsia="仿宋_GB2312" w:hAnsi="宋体" w:cs="宋体" w:hint="eastAsia"/>
          <w:sz w:val="32"/>
          <w:szCs w:val="32"/>
        </w:rPr>
        <w:t>市委、市政府确定了“七个走在前列，打造五个名地”的奋斗目标。在“五个名地”中，</w:t>
      </w:r>
      <w:r>
        <w:rPr>
          <w:rFonts w:ascii="仿宋_GB2312" w:eastAsia="仿宋_GB2312" w:hAnsi="宋体" w:cs="宋体" w:hint="eastAsia"/>
          <w:sz w:val="32"/>
          <w:szCs w:val="32"/>
        </w:rPr>
        <w:t>将</w:t>
      </w:r>
      <w:r>
        <w:rPr>
          <w:rFonts w:ascii="仿宋_GB2312" w:eastAsia="仿宋_GB2312" w:hAnsi="宋体" w:cs="宋体" w:hint="eastAsia"/>
          <w:sz w:val="32"/>
          <w:szCs w:val="32"/>
        </w:rPr>
        <w:t>产业高地</w:t>
      </w:r>
      <w:r>
        <w:rPr>
          <w:rFonts w:ascii="仿宋_GB2312" w:eastAsia="仿宋_GB2312" w:hAnsi="宋体" w:cs="宋体" w:hint="eastAsia"/>
          <w:sz w:val="32"/>
          <w:szCs w:val="32"/>
        </w:rPr>
        <w:t>放在</w:t>
      </w:r>
      <w:r>
        <w:rPr>
          <w:rFonts w:ascii="仿宋_GB2312" w:eastAsia="仿宋_GB2312" w:hAnsi="宋体" w:cs="宋体" w:hint="eastAsia"/>
          <w:sz w:val="32"/>
          <w:szCs w:val="32"/>
        </w:rPr>
        <w:t>首位，这是泰安市委、市政府从实际出发，实施“产业兴市”战略</w:t>
      </w:r>
      <w:r>
        <w:rPr>
          <w:rFonts w:ascii="仿宋_GB2312" w:eastAsia="仿宋_GB2312" w:hAnsi="宋体" w:cs="宋体" w:hint="eastAsia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sz w:val="32"/>
          <w:szCs w:val="32"/>
        </w:rPr>
        <w:t>加快新旧动能转换的重大部署</w:t>
      </w:r>
      <w:r>
        <w:rPr>
          <w:rFonts w:ascii="仿宋_GB2312" w:eastAsia="仿宋_GB2312" w:hAnsi="宋体" w:cs="宋体" w:hint="eastAsia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sz w:val="32"/>
          <w:szCs w:val="32"/>
        </w:rPr>
        <w:t>对推进泰安高质量发展</w:t>
      </w:r>
      <w:r>
        <w:rPr>
          <w:rFonts w:ascii="仿宋_GB2312" w:eastAsia="仿宋_GB2312" w:hAnsi="宋体" w:cs="宋体" w:hint="eastAsia"/>
          <w:sz w:val="32"/>
          <w:szCs w:val="32"/>
        </w:rPr>
        <w:t>、加快</w:t>
      </w:r>
      <w:r>
        <w:rPr>
          <w:rFonts w:ascii="仿宋_GB2312" w:eastAsia="仿宋_GB2312" w:hAnsi="宋体" w:cs="宋体" w:hint="eastAsia"/>
          <w:sz w:val="32"/>
          <w:szCs w:val="32"/>
        </w:rPr>
        <w:t>新时代</w:t>
      </w:r>
      <w:r>
        <w:rPr>
          <w:rFonts w:ascii="仿宋_GB2312" w:eastAsia="仿宋_GB2312" w:hAnsi="宋体" w:cs="宋体" w:hint="eastAsia"/>
          <w:sz w:val="32"/>
          <w:szCs w:val="32"/>
        </w:rPr>
        <w:t>现代化强市建设</w:t>
      </w:r>
      <w:r>
        <w:rPr>
          <w:rFonts w:ascii="仿宋_GB2312" w:eastAsia="仿宋_GB2312" w:hAnsi="宋体" w:cs="宋体" w:hint="eastAsia"/>
          <w:sz w:val="32"/>
          <w:szCs w:val="32"/>
        </w:rPr>
        <w:t>具有</w:t>
      </w:r>
      <w:r>
        <w:rPr>
          <w:rFonts w:ascii="仿宋_GB2312" w:eastAsia="仿宋_GB2312" w:hAnsi="宋体" w:cs="宋体" w:hint="eastAsia"/>
          <w:sz w:val="32"/>
          <w:szCs w:val="32"/>
        </w:rPr>
        <w:t>十分</w:t>
      </w:r>
      <w:r>
        <w:rPr>
          <w:rFonts w:ascii="仿宋_GB2312" w:eastAsia="仿宋_GB2312" w:hAnsi="宋体" w:cs="宋体" w:hint="eastAsia"/>
          <w:sz w:val="32"/>
          <w:szCs w:val="32"/>
        </w:rPr>
        <w:t>重要</w:t>
      </w:r>
      <w:r>
        <w:rPr>
          <w:rFonts w:ascii="仿宋_GB2312" w:eastAsia="仿宋_GB2312" w:hAnsi="宋体" w:cs="宋体" w:hint="eastAsia"/>
          <w:sz w:val="32"/>
          <w:szCs w:val="32"/>
        </w:rPr>
        <w:t>的</w:t>
      </w:r>
      <w:r>
        <w:rPr>
          <w:rFonts w:ascii="仿宋_GB2312" w:eastAsia="仿宋_GB2312" w:hAnsi="宋体" w:cs="宋体" w:hint="eastAsia"/>
          <w:sz w:val="32"/>
          <w:szCs w:val="32"/>
        </w:rPr>
        <w:t>意义。</w:t>
      </w:r>
    </w:p>
    <w:p w:rsidR="00734037" w:rsidRDefault="00294E0E">
      <w:pPr>
        <w:widowControl w:val="0"/>
        <w:overflowPunct w:val="0"/>
        <w:ind w:firstLineChars="200" w:firstLine="640"/>
        <w:jc w:val="both"/>
        <w:rPr>
          <w:rFonts w:ascii="Times New Roman" w:eastAsia="黑体" w:hAnsi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hint="eastAsia"/>
          <w:color w:val="000000" w:themeColor="text1"/>
          <w:sz w:val="32"/>
          <w:szCs w:val="32"/>
        </w:rPr>
        <w:t>二</w:t>
      </w:r>
      <w:r w:rsidR="0069147E">
        <w:rPr>
          <w:rFonts w:ascii="Times New Roman" w:eastAsia="黑体" w:hAnsi="Times New Roman"/>
          <w:color w:val="000000" w:themeColor="text1"/>
          <w:sz w:val="32"/>
          <w:szCs w:val="32"/>
        </w:rPr>
        <w:t>、</w:t>
      </w:r>
      <w:r w:rsidR="0069147E">
        <w:rPr>
          <w:rFonts w:ascii="Times New Roman" w:eastAsia="黑体" w:hAnsi="Times New Roman" w:hint="eastAsia"/>
          <w:color w:val="000000" w:themeColor="text1"/>
          <w:sz w:val="32"/>
          <w:szCs w:val="32"/>
        </w:rPr>
        <w:t>政策文件出台的依据</w:t>
      </w:r>
    </w:p>
    <w:p w:rsidR="00734037" w:rsidRDefault="0069147E">
      <w:pPr>
        <w:widowControl w:val="0"/>
        <w:overflowPunct w:val="0"/>
        <w:ind w:firstLineChars="200" w:firstLine="640"/>
        <w:jc w:val="both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按照市委、市政府关于推进新时代现代化强市建设，在“十四五”时期努力建成“五大名地”的决策部署，以及《“十四五”时期“五大名地”建设任务分解责任分工方案》（泰办发电〔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39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号）和市政府有关要求，结合《泰安市国民经济和社会发展第十四个五年规划纲要》和当前工作实际，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市发改委牵头组织相关部门共同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研究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起草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了《泰安市产业高地建设实施意见》。</w:t>
      </w:r>
    </w:p>
    <w:p w:rsidR="00734037" w:rsidRDefault="0069147E">
      <w:pPr>
        <w:widowControl w:val="0"/>
        <w:overflowPunct w:val="0"/>
        <w:ind w:firstLineChars="200" w:firstLine="640"/>
        <w:jc w:val="both"/>
        <w:rPr>
          <w:rFonts w:ascii="Times New Roman" w:eastAsia="黑体" w:hAnsi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hint="eastAsia"/>
          <w:color w:val="000000" w:themeColor="text1"/>
          <w:sz w:val="32"/>
          <w:szCs w:val="32"/>
        </w:rPr>
        <w:t>三</w:t>
      </w:r>
      <w:r>
        <w:rPr>
          <w:rFonts w:ascii="Times New Roman" w:eastAsia="黑体" w:hAnsi="Times New Roman"/>
          <w:color w:val="000000" w:themeColor="text1"/>
          <w:sz w:val="32"/>
          <w:szCs w:val="32"/>
        </w:rPr>
        <w:t>、</w:t>
      </w:r>
      <w:r>
        <w:rPr>
          <w:rFonts w:ascii="Times New Roman" w:eastAsia="黑体" w:hAnsi="Times New Roman" w:hint="eastAsia"/>
          <w:color w:val="000000" w:themeColor="text1"/>
          <w:sz w:val="32"/>
          <w:szCs w:val="32"/>
        </w:rPr>
        <w:t>政策文件的</w:t>
      </w:r>
      <w:r>
        <w:rPr>
          <w:rFonts w:ascii="Times New Roman" w:eastAsia="黑体" w:hAnsi="Times New Roman"/>
          <w:color w:val="000000" w:themeColor="text1"/>
          <w:sz w:val="32"/>
          <w:szCs w:val="32"/>
        </w:rPr>
        <w:t>主要内容</w:t>
      </w:r>
    </w:p>
    <w:p w:rsidR="00734037" w:rsidRDefault="0069147E">
      <w:pPr>
        <w:widowControl w:val="0"/>
        <w:overflowPunct w:val="0"/>
        <w:ind w:firstLineChars="200" w:firstLine="640"/>
        <w:jc w:val="both"/>
        <w:rPr>
          <w:rFonts w:ascii="仿宋_GB2312" w:eastAsia="仿宋_GB2312" w:hAnsi="Times New Roman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Times New Roman" w:hint="eastAsia"/>
          <w:bCs/>
          <w:color w:val="000000" w:themeColor="text1"/>
          <w:sz w:val="32"/>
          <w:szCs w:val="32"/>
        </w:rPr>
        <w:t>《实施意见》包括总体要求、发展目标、主要任务、保障</w:t>
      </w:r>
      <w:r>
        <w:rPr>
          <w:rFonts w:ascii="仿宋_GB2312" w:eastAsia="仿宋_GB2312" w:hAnsi="Times New Roman" w:hint="eastAsia"/>
          <w:bCs/>
          <w:color w:val="000000" w:themeColor="text1"/>
          <w:sz w:val="32"/>
          <w:szCs w:val="32"/>
        </w:rPr>
        <w:lastRenderedPageBreak/>
        <w:t>措施四部分内容，其中主要任务包括</w:t>
      </w:r>
      <w:r>
        <w:rPr>
          <w:rFonts w:ascii="仿宋_GB2312" w:eastAsia="仿宋_GB2312" w:hAnsi="Times New Roman" w:hint="eastAsia"/>
          <w:bCs/>
          <w:color w:val="000000" w:themeColor="text1"/>
          <w:sz w:val="32"/>
          <w:szCs w:val="32"/>
        </w:rPr>
        <w:t>4</w:t>
      </w:r>
      <w:r>
        <w:rPr>
          <w:rFonts w:ascii="仿宋_GB2312" w:eastAsia="仿宋_GB2312" w:hAnsi="Times New Roman" w:hint="eastAsia"/>
          <w:bCs/>
          <w:color w:val="000000" w:themeColor="text1"/>
          <w:sz w:val="32"/>
          <w:szCs w:val="32"/>
        </w:rPr>
        <w:t>个方面、</w:t>
      </w:r>
      <w:r>
        <w:rPr>
          <w:rFonts w:ascii="仿宋_GB2312" w:eastAsia="仿宋_GB2312" w:hAnsi="Times New Roman" w:hint="eastAsia"/>
          <w:bCs/>
          <w:color w:val="000000" w:themeColor="text1"/>
          <w:sz w:val="32"/>
          <w:szCs w:val="32"/>
        </w:rPr>
        <w:t>18</w:t>
      </w:r>
      <w:r>
        <w:rPr>
          <w:rFonts w:ascii="仿宋_GB2312" w:eastAsia="仿宋_GB2312" w:hAnsi="Times New Roman" w:hint="eastAsia"/>
          <w:bCs/>
          <w:color w:val="000000" w:themeColor="text1"/>
          <w:sz w:val="32"/>
          <w:szCs w:val="32"/>
        </w:rPr>
        <w:t>项具体任务。</w:t>
      </w:r>
    </w:p>
    <w:p w:rsidR="00734037" w:rsidRDefault="0069147E">
      <w:pPr>
        <w:pStyle w:val="a6"/>
        <w:shd w:val="clear" w:color="auto" w:fill="FFFFFF"/>
        <w:spacing w:before="0" w:beforeAutospacing="0" w:after="0" w:afterAutospacing="0"/>
        <w:ind w:firstLineChars="200" w:firstLine="643"/>
        <w:rPr>
          <w:rFonts w:ascii="仿宋_GB2312" w:eastAsia="仿宋_GB2312" w:hAnsi="Times New Roman" w:cstheme="minorBidi"/>
          <w:bCs/>
          <w:color w:val="000000" w:themeColor="text1"/>
          <w:kern w:val="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 w:themeColor="text1"/>
          <w:sz w:val="32"/>
          <w:szCs w:val="32"/>
        </w:rPr>
        <w:t>第一部分，总体要求。</w:t>
      </w:r>
      <w:r>
        <w:rPr>
          <w:rFonts w:ascii="仿宋_GB2312" w:eastAsia="仿宋_GB2312" w:hAnsi="Times New Roman" w:cstheme="minorBidi" w:hint="eastAsia"/>
          <w:bCs/>
          <w:color w:val="000000" w:themeColor="text1"/>
          <w:kern w:val="2"/>
          <w:sz w:val="32"/>
          <w:szCs w:val="32"/>
        </w:rPr>
        <w:t>坚持以习近平新时代中国特色社会主义思想为指导，认真落实“把发展经济的着力点放在实体经济上”的有关要求，深入实施“产业兴市”战略，通过优化产业布局、壮大市场主体、强化项目支撑、加强要素保障，进一步推动淘汰落后动能、改造提升传统产业、培育壮大新兴产业，打造一批千亿级支柱产业、百亿级优势产业，为建设新时代现代化强市注入强大动力。</w:t>
      </w:r>
    </w:p>
    <w:p w:rsidR="00734037" w:rsidRDefault="0069147E">
      <w:pPr>
        <w:pStyle w:val="a6"/>
        <w:shd w:val="clear" w:color="auto" w:fill="FFFFFF"/>
        <w:spacing w:before="0" w:beforeAutospacing="0" w:after="0" w:afterAutospacing="0"/>
        <w:ind w:firstLineChars="200" w:firstLine="643"/>
        <w:rPr>
          <w:rFonts w:ascii="仿宋_GB2312" w:eastAsia="仿宋_GB2312" w:hAnsi="Times New Roman" w:cstheme="minorBidi"/>
          <w:bCs/>
          <w:color w:val="000000" w:themeColor="text1"/>
          <w:kern w:val="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 w:themeColor="text1"/>
          <w:sz w:val="32"/>
          <w:szCs w:val="32"/>
        </w:rPr>
        <w:t>第二部分，发展目标。</w:t>
      </w:r>
      <w:r>
        <w:rPr>
          <w:rFonts w:ascii="仿宋_GB2312" w:eastAsia="仿宋_GB2312" w:hAnsi="Times New Roman" w:cstheme="minorBidi" w:hint="eastAsia"/>
          <w:bCs/>
          <w:color w:val="000000" w:themeColor="text1"/>
          <w:kern w:val="2"/>
          <w:sz w:val="32"/>
          <w:szCs w:val="32"/>
        </w:rPr>
        <w:t>“十四五”时期，地区生产总值迈上新台阶，实现</w:t>
      </w:r>
      <w:r>
        <w:rPr>
          <w:rFonts w:ascii="仿宋_GB2312" w:eastAsia="仿宋_GB2312" w:hAnsi="Times New Roman" w:cstheme="minorBidi" w:hint="eastAsia"/>
          <w:bCs/>
          <w:color w:val="000000" w:themeColor="text1"/>
          <w:kern w:val="2"/>
          <w:sz w:val="32"/>
          <w:szCs w:val="32"/>
        </w:rPr>
        <w:t>GDP</w:t>
      </w:r>
      <w:r>
        <w:rPr>
          <w:rFonts w:ascii="仿宋_GB2312" w:eastAsia="仿宋_GB2312" w:hAnsi="Times New Roman" w:cstheme="minorBidi" w:hint="eastAsia"/>
          <w:bCs/>
          <w:color w:val="000000" w:themeColor="text1"/>
          <w:kern w:val="2"/>
          <w:sz w:val="32"/>
          <w:szCs w:val="32"/>
        </w:rPr>
        <w:t>年均增长</w:t>
      </w:r>
      <w:r>
        <w:rPr>
          <w:rFonts w:ascii="仿宋_GB2312" w:eastAsia="仿宋_GB2312" w:hAnsi="Times New Roman" w:cstheme="minorBidi" w:hint="eastAsia"/>
          <w:bCs/>
          <w:color w:val="000000" w:themeColor="text1"/>
          <w:kern w:val="2"/>
          <w:sz w:val="32"/>
          <w:szCs w:val="32"/>
        </w:rPr>
        <w:t>5.5%</w:t>
      </w:r>
      <w:r>
        <w:rPr>
          <w:rFonts w:ascii="仿宋_GB2312" w:eastAsia="仿宋_GB2312" w:hAnsi="Times New Roman" w:cstheme="minorBidi" w:hint="eastAsia"/>
          <w:bCs/>
          <w:color w:val="000000" w:themeColor="text1"/>
          <w:kern w:val="2"/>
          <w:sz w:val="32"/>
          <w:szCs w:val="32"/>
        </w:rPr>
        <w:t>左右；实体经济和先进制造业加快发展，工业占</w:t>
      </w:r>
      <w:r>
        <w:rPr>
          <w:rFonts w:ascii="仿宋_GB2312" w:eastAsia="仿宋_GB2312" w:hAnsi="Times New Roman" w:cstheme="minorBidi" w:hint="eastAsia"/>
          <w:bCs/>
          <w:color w:val="000000" w:themeColor="text1"/>
          <w:kern w:val="2"/>
          <w:sz w:val="32"/>
          <w:szCs w:val="32"/>
        </w:rPr>
        <w:t>GDP</w:t>
      </w:r>
      <w:r>
        <w:rPr>
          <w:rFonts w:ascii="仿宋_GB2312" w:eastAsia="仿宋_GB2312" w:hAnsi="Times New Roman" w:cstheme="minorBidi" w:hint="eastAsia"/>
          <w:bCs/>
          <w:color w:val="000000" w:themeColor="text1"/>
          <w:kern w:val="2"/>
          <w:sz w:val="32"/>
          <w:szCs w:val="32"/>
        </w:rPr>
        <w:t>比重提高到</w:t>
      </w:r>
      <w:r>
        <w:rPr>
          <w:rFonts w:ascii="仿宋_GB2312" w:eastAsia="仿宋_GB2312" w:hAnsi="Times New Roman" w:cstheme="minorBidi" w:hint="eastAsia"/>
          <w:bCs/>
          <w:color w:val="000000" w:themeColor="text1"/>
          <w:kern w:val="2"/>
          <w:sz w:val="32"/>
          <w:szCs w:val="32"/>
        </w:rPr>
        <w:t>28%</w:t>
      </w:r>
      <w:r>
        <w:rPr>
          <w:rFonts w:ascii="仿宋_GB2312" w:eastAsia="仿宋_GB2312" w:hAnsi="Times New Roman" w:cstheme="minorBidi" w:hint="eastAsia"/>
          <w:bCs/>
          <w:color w:val="000000" w:themeColor="text1"/>
          <w:kern w:val="2"/>
          <w:sz w:val="32"/>
          <w:szCs w:val="32"/>
        </w:rPr>
        <w:t>；农业基础更加稳固；服务业迈向更高水</w:t>
      </w:r>
      <w:r>
        <w:rPr>
          <w:rFonts w:ascii="仿宋_GB2312" w:eastAsia="仿宋_GB2312" w:hAnsi="Times New Roman" w:cstheme="minorBidi" w:hint="eastAsia"/>
          <w:bCs/>
          <w:color w:val="000000" w:themeColor="text1"/>
          <w:kern w:val="2"/>
          <w:sz w:val="32"/>
          <w:szCs w:val="32"/>
        </w:rPr>
        <w:t>平；高新技术产业产值占比明显提高；产业基础高级化、产业链现代化水平显著提高，高端装备和智能制造、新材料、新能源、高端化工等支柱产业竞争力进入全省第一方阵，文化旅游、医养健康、纺织服装、建筑安装、新一代信息技术等优势产业规模效益持续扩大，形成一批百亿级企业，打造一批五百亿级、千亿级产业集群，经济发展质效大幅提高。</w:t>
      </w:r>
    </w:p>
    <w:p w:rsidR="00734037" w:rsidRDefault="0069147E">
      <w:pPr>
        <w:widowControl w:val="0"/>
        <w:overflowPunct w:val="0"/>
        <w:ind w:firstLineChars="200" w:firstLine="643"/>
        <w:jc w:val="both"/>
        <w:rPr>
          <w:rFonts w:ascii="仿宋_GB2312" w:eastAsia="仿宋_GB2312" w:hAnsi="黑体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 w:themeColor="text1"/>
          <w:sz w:val="32"/>
          <w:szCs w:val="32"/>
        </w:rPr>
        <w:t>第三部分，主要任务。</w:t>
      </w:r>
      <w:r>
        <w:rPr>
          <w:rFonts w:ascii="仿宋_GB2312" w:eastAsia="仿宋_GB2312" w:hAnsi="Times New Roman" w:hint="eastAsia"/>
          <w:bCs/>
          <w:color w:val="000000" w:themeColor="text1"/>
          <w:sz w:val="32"/>
          <w:szCs w:val="32"/>
        </w:rPr>
        <w:t>包括</w:t>
      </w:r>
      <w:r>
        <w:rPr>
          <w:rFonts w:ascii="仿宋_GB2312" w:eastAsia="仿宋_GB2312" w:hAnsi="Times New Roman" w:hint="eastAsia"/>
          <w:bCs/>
          <w:color w:val="000000" w:themeColor="text1"/>
          <w:sz w:val="32"/>
          <w:szCs w:val="32"/>
        </w:rPr>
        <w:t>4</w:t>
      </w:r>
      <w:r>
        <w:rPr>
          <w:rFonts w:ascii="仿宋_GB2312" w:eastAsia="仿宋_GB2312" w:hAnsi="Times New Roman" w:hint="eastAsia"/>
          <w:bCs/>
          <w:color w:val="000000" w:themeColor="text1"/>
          <w:sz w:val="32"/>
          <w:szCs w:val="32"/>
        </w:rPr>
        <w:t>个方面、</w:t>
      </w:r>
      <w:r>
        <w:rPr>
          <w:rFonts w:ascii="仿宋_GB2312" w:eastAsia="仿宋_GB2312" w:hAnsi="Times New Roman" w:hint="eastAsia"/>
          <w:bCs/>
          <w:color w:val="000000" w:themeColor="text1"/>
          <w:sz w:val="32"/>
          <w:szCs w:val="32"/>
        </w:rPr>
        <w:t>18</w:t>
      </w:r>
      <w:r>
        <w:rPr>
          <w:rFonts w:ascii="仿宋_GB2312" w:eastAsia="仿宋_GB2312" w:hAnsi="Times New Roman" w:hint="eastAsia"/>
          <w:bCs/>
          <w:color w:val="000000" w:themeColor="text1"/>
          <w:sz w:val="32"/>
          <w:szCs w:val="32"/>
        </w:rPr>
        <w:t>项具体任务。</w:t>
      </w:r>
    </w:p>
    <w:p w:rsidR="00734037" w:rsidRDefault="0069147E">
      <w:pPr>
        <w:widowControl w:val="0"/>
        <w:overflowPunct w:val="0"/>
        <w:ind w:firstLineChars="200" w:firstLine="643"/>
        <w:jc w:val="both"/>
        <w:rPr>
          <w:rFonts w:ascii="仿宋_GB2312" w:eastAsia="仿宋_GB2312" w:hAnsi="Times New Roman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黑体" w:hint="eastAsia"/>
          <w:b/>
          <w:bCs/>
          <w:kern w:val="0"/>
          <w:sz w:val="32"/>
          <w:szCs w:val="32"/>
          <w:lang w:bidi="ar"/>
        </w:rPr>
        <w:t>一是淘汰低效落后动能。</w:t>
      </w:r>
      <w:r>
        <w:rPr>
          <w:rFonts w:ascii="仿宋_GB2312" w:eastAsia="仿宋_GB2312" w:hAnsi="Times New Roman" w:hint="eastAsia"/>
          <w:bCs/>
          <w:color w:val="000000" w:themeColor="text1"/>
          <w:sz w:val="32"/>
          <w:szCs w:val="32"/>
        </w:rPr>
        <w:t>深入贯彻执行国家产业政策，严格落实省委、省政府关于淘汰落后动能的有关要求，聚焦钢铁、</w:t>
      </w:r>
      <w:r>
        <w:rPr>
          <w:rFonts w:ascii="仿宋_GB2312" w:eastAsia="仿宋_GB2312" w:hAnsi="Times New Roman" w:hint="eastAsia"/>
          <w:bCs/>
          <w:color w:val="000000" w:themeColor="text1"/>
          <w:sz w:val="32"/>
          <w:szCs w:val="32"/>
        </w:rPr>
        <w:lastRenderedPageBreak/>
        <w:t>煤电、水泥、煤炭等行业，健全完善环保、安全、技术、能耗、效益标准，分类组织实施转移、压减、整合关停等任务，依法依规倒逼落后产能加速退出，坚决遏制低效落后产能盲目扩张，为新产能发展腾出空间。该项任务由市直相关职能部门按职责分工负责。</w:t>
      </w:r>
    </w:p>
    <w:p w:rsidR="00734037" w:rsidRDefault="0069147E">
      <w:pPr>
        <w:widowControl w:val="0"/>
        <w:overflowPunct w:val="0"/>
        <w:ind w:firstLineChars="200" w:firstLine="643"/>
        <w:jc w:val="both"/>
        <w:rPr>
          <w:rFonts w:ascii="仿宋_GB2312" w:eastAsia="仿宋_GB2312" w:hAnsi="Times New Roman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黑体" w:hint="eastAsia"/>
          <w:b/>
          <w:bCs/>
          <w:sz w:val="32"/>
          <w:szCs w:val="32"/>
        </w:rPr>
        <w:t>二是改造提升传统产业。</w:t>
      </w:r>
      <w:r>
        <w:rPr>
          <w:rFonts w:ascii="仿宋_GB2312" w:eastAsia="仿宋_GB2312" w:hAnsi="Times New Roman" w:hint="eastAsia"/>
          <w:bCs/>
          <w:color w:val="000000" w:themeColor="text1"/>
          <w:sz w:val="32"/>
          <w:szCs w:val="32"/>
        </w:rPr>
        <w:t>发挥全市制造业基础优势，推动装备制造、高端化工、纺织服装、建筑等产业向智能化、高端化、绿色化、集群化发展，加快传统产业转型升级。提出“打造装备制造业集群，打造鲁中高端化工现代</w:t>
      </w:r>
      <w:r>
        <w:rPr>
          <w:rFonts w:ascii="仿宋_GB2312" w:eastAsia="仿宋_GB2312" w:hAnsi="Times New Roman" w:hint="eastAsia"/>
          <w:bCs/>
          <w:color w:val="000000" w:themeColor="text1"/>
          <w:sz w:val="32"/>
          <w:szCs w:val="32"/>
        </w:rPr>
        <w:t>产业集群，打造纺织服装产业集群，打造建筑业产业集群”</w:t>
      </w:r>
      <w:r>
        <w:rPr>
          <w:rFonts w:ascii="仿宋_GB2312" w:eastAsia="仿宋_GB2312" w:hAnsi="Times New Roman" w:hint="eastAsia"/>
          <w:bCs/>
          <w:color w:val="000000" w:themeColor="text1"/>
          <w:sz w:val="32"/>
          <w:szCs w:val="32"/>
        </w:rPr>
        <w:t>4</w:t>
      </w:r>
      <w:r>
        <w:rPr>
          <w:rFonts w:ascii="仿宋_GB2312" w:eastAsia="仿宋_GB2312" w:hAnsi="Times New Roman" w:hint="eastAsia"/>
          <w:bCs/>
          <w:color w:val="000000" w:themeColor="text1"/>
          <w:sz w:val="32"/>
          <w:szCs w:val="32"/>
        </w:rPr>
        <w:t>项重点任务。分别由市工业和信息化局、市住房城乡建设局牵头负责。</w:t>
      </w:r>
    </w:p>
    <w:p w:rsidR="00734037" w:rsidRDefault="0069147E">
      <w:pPr>
        <w:pStyle w:val="a6"/>
        <w:shd w:val="clear" w:color="auto" w:fill="FFFFFF"/>
        <w:spacing w:before="0" w:beforeAutospacing="0" w:after="0" w:afterAutospacing="0"/>
        <w:ind w:firstLineChars="200" w:firstLine="643"/>
        <w:rPr>
          <w:rFonts w:ascii="仿宋_GB2312" w:eastAsia="仿宋_GB2312" w:hAnsi="Times New Roman" w:cstheme="minorBidi"/>
          <w:bCs/>
          <w:color w:val="000000" w:themeColor="text1"/>
          <w:kern w:val="2"/>
          <w:sz w:val="32"/>
          <w:szCs w:val="32"/>
        </w:rPr>
      </w:pPr>
      <w:r>
        <w:rPr>
          <w:rFonts w:ascii="仿宋_GB2312" w:eastAsia="仿宋_GB2312" w:hAnsi="黑体" w:hint="eastAsia"/>
          <w:b/>
          <w:bCs/>
          <w:sz w:val="32"/>
          <w:szCs w:val="32"/>
        </w:rPr>
        <w:t>三是培育壮大新兴产业。</w:t>
      </w:r>
      <w:r>
        <w:rPr>
          <w:rFonts w:ascii="仿宋_GB2312" w:eastAsia="仿宋_GB2312" w:hAnsi="Times New Roman" w:cstheme="minorBidi" w:hint="eastAsia"/>
          <w:bCs/>
          <w:color w:val="000000" w:themeColor="text1"/>
          <w:kern w:val="2"/>
          <w:sz w:val="32"/>
          <w:szCs w:val="32"/>
        </w:rPr>
        <w:t>瞄准国际前沿产业发展趋势，着力推动互联网、大数据、人工智能与实体经济深度融合，统筹供应链、价值链、创新链和产品链、品牌链、资金链多链持续提升，推动新材料、新能源与节能环保、新一代信息技术、医养健康等战略性新兴产业集群做大做强。提出“打造新材料产业集群、打造山东重要的新能源产业基地、打造新一代信息技术领域‘泰山’品牌、发展壮大医养健康产业集群、超前谋划未来产业”</w:t>
      </w:r>
      <w:r>
        <w:rPr>
          <w:rFonts w:ascii="仿宋_GB2312" w:eastAsia="仿宋_GB2312" w:hAnsi="Times New Roman" w:cstheme="minorBidi" w:hint="eastAsia"/>
          <w:bCs/>
          <w:color w:val="000000" w:themeColor="text1"/>
          <w:kern w:val="2"/>
          <w:sz w:val="32"/>
          <w:szCs w:val="32"/>
        </w:rPr>
        <w:t>5</w:t>
      </w:r>
      <w:r>
        <w:rPr>
          <w:rFonts w:ascii="仿宋_GB2312" w:eastAsia="仿宋_GB2312" w:hAnsi="Times New Roman" w:cstheme="minorBidi" w:hint="eastAsia"/>
          <w:bCs/>
          <w:color w:val="000000" w:themeColor="text1"/>
          <w:kern w:val="2"/>
          <w:sz w:val="32"/>
          <w:szCs w:val="32"/>
        </w:rPr>
        <w:t>项重点任</w:t>
      </w:r>
      <w:r>
        <w:rPr>
          <w:rFonts w:ascii="仿宋_GB2312" w:eastAsia="仿宋_GB2312" w:hAnsi="Times New Roman" w:cstheme="minorBidi" w:hint="eastAsia"/>
          <w:bCs/>
          <w:color w:val="000000" w:themeColor="text1"/>
          <w:kern w:val="2"/>
          <w:sz w:val="32"/>
          <w:szCs w:val="32"/>
        </w:rPr>
        <w:t>务。分别由市工业和信息化局、市能源局、市卫生健康委、市“</w:t>
      </w:r>
      <w:r>
        <w:rPr>
          <w:rFonts w:ascii="仿宋_GB2312" w:eastAsia="仿宋_GB2312" w:hAnsi="Times New Roman" w:cstheme="minorBidi" w:hint="eastAsia"/>
          <w:bCs/>
          <w:color w:val="000000" w:themeColor="text1"/>
          <w:kern w:val="2"/>
          <w:sz w:val="32"/>
          <w:szCs w:val="32"/>
        </w:rPr>
        <w:t>10+1</w:t>
      </w:r>
      <w:r>
        <w:rPr>
          <w:rFonts w:ascii="仿宋_GB2312" w:eastAsia="仿宋_GB2312" w:hAnsi="Times New Roman" w:cstheme="minorBidi" w:hint="eastAsia"/>
          <w:bCs/>
          <w:color w:val="000000" w:themeColor="text1"/>
          <w:kern w:val="2"/>
          <w:sz w:val="32"/>
          <w:szCs w:val="32"/>
        </w:rPr>
        <w:t>”产业专班牵头负责。</w:t>
      </w:r>
    </w:p>
    <w:p w:rsidR="00734037" w:rsidRDefault="0069147E">
      <w:pPr>
        <w:widowControl w:val="0"/>
        <w:overflowPunct w:val="0"/>
        <w:ind w:firstLineChars="200" w:firstLine="643"/>
        <w:jc w:val="both"/>
        <w:rPr>
          <w:rFonts w:ascii="仿宋_GB2312" w:eastAsia="仿宋_GB2312" w:hAnsi="Times New Roman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黑体" w:hint="eastAsia"/>
          <w:b/>
          <w:bCs/>
          <w:sz w:val="32"/>
          <w:szCs w:val="32"/>
        </w:rPr>
        <w:t>四是大力发展现代服务业。</w:t>
      </w:r>
      <w:r>
        <w:rPr>
          <w:rFonts w:ascii="仿宋_GB2312" w:eastAsia="仿宋_GB2312" w:hAnsi="Times New Roman" w:hint="eastAsia"/>
          <w:bCs/>
          <w:color w:val="000000" w:themeColor="text1"/>
          <w:sz w:val="32"/>
          <w:szCs w:val="32"/>
        </w:rPr>
        <w:t>顺应现代产业对新业态新经济发展需求，推动生产性服务业向专业化和价值链高端延伸、生</w:t>
      </w:r>
      <w:r>
        <w:rPr>
          <w:rFonts w:ascii="仿宋_GB2312" w:eastAsia="仿宋_GB2312" w:hAnsi="Times New Roman" w:hint="eastAsia"/>
          <w:bCs/>
          <w:color w:val="000000" w:themeColor="text1"/>
          <w:sz w:val="32"/>
          <w:szCs w:val="32"/>
        </w:rPr>
        <w:lastRenderedPageBreak/>
        <w:t>活性服务业向精细化和高品质转变，加快构筑现代服务业与先进制造业融合发展、现代服务体系与城市优化提升良性互动的发展格局。提出“加快生产性服务业发展、丰富生活性服务业供给、加快文化旅游全域化发展、打造区域性服务中心城市”</w:t>
      </w:r>
      <w:r>
        <w:rPr>
          <w:rFonts w:ascii="仿宋_GB2312" w:eastAsia="仿宋_GB2312" w:hAnsi="Times New Roman" w:hint="eastAsia"/>
          <w:bCs/>
          <w:color w:val="000000" w:themeColor="text1"/>
          <w:sz w:val="32"/>
          <w:szCs w:val="32"/>
        </w:rPr>
        <w:t>4</w:t>
      </w:r>
      <w:r>
        <w:rPr>
          <w:rFonts w:ascii="仿宋_GB2312" w:eastAsia="仿宋_GB2312" w:hAnsi="Times New Roman" w:hint="eastAsia"/>
          <w:bCs/>
          <w:color w:val="000000" w:themeColor="text1"/>
          <w:sz w:val="32"/>
          <w:szCs w:val="32"/>
        </w:rPr>
        <w:t>项重点任务。分别由市发展改革委、市民政局、市住房城乡建设局、市商务局、市文化旅游局、市卫生健康委等重点服</w:t>
      </w:r>
      <w:r>
        <w:rPr>
          <w:rFonts w:ascii="仿宋_GB2312" w:eastAsia="仿宋_GB2312" w:hAnsi="Times New Roman" w:hint="eastAsia"/>
          <w:bCs/>
          <w:color w:val="000000" w:themeColor="text1"/>
          <w:sz w:val="32"/>
          <w:szCs w:val="32"/>
        </w:rPr>
        <w:t>务业领域行业主管部门按照职责分工负责。</w:t>
      </w:r>
    </w:p>
    <w:p w:rsidR="00734037" w:rsidRDefault="0069147E">
      <w:pPr>
        <w:widowControl w:val="0"/>
        <w:overflowPunct w:val="0"/>
        <w:ind w:firstLineChars="200" w:firstLine="643"/>
        <w:jc w:val="both"/>
        <w:rPr>
          <w:rFonts w:ascii="仿宋_GB2312" w:eastAsia="楷体_GB2312"/>
          <w:sz w:val="32"/>
          <w:szCs w:val="32"/>
        </w:rPr>
      </w:pPr>
      <w:r>
        <w:rPr>
          <w:rFonts w:ascii="仿宋_GB2312" w:eastAsia="仿宋_GB2312" w:hAnsi="黑体" w:hint="eastAsia"/>
          <w:b/>
          <w:bCs/>
          <w:sz w:val="32"/>
          <w:szCs w:val="32"/>
        </w:rPr>
        <w:t>五是构建现代高效农业体系</w:t>
      </w:r>
      <w:r>
        <w:rPr>
          <w:rFonts w:ascii="楷体_GB2312" w:eastAsia="楷体_GB2312" w:hint="eastAsia"/>
          <w:sz w:val="32"/>
          <w:szCs w:val="32"/>
        </w:rPr>
        <w:t>。</w:t>
      </w:r>
      <w:r>
        <w:rPr>
          <w:rFonts w:ascii="仿宋_GB2312" w:eastAsia="仿宋_GB2312" w:hAnsi="Times New Roman" w:hint="eastAsia"/>
          <w:sz w:val="32"/>
          <w:szCs w:val="32"/>
        </w:rPr>
        <w:t>全面</w:t>
      </w:r>
      <w:r>
        <w:rPr>
          <w:rFonts w:ascii="仿宋_GB2312" w:eastAsia="仿宋_GB2312" w:hAnsi="Times New Roman" w:hint="eastAsia"/>
          <w:sz w:val="32"/>
          <w:szCs w:val="32"/>
        </w:rPr>
        <w:t>推进农业“三链重构”，构建农业“四种业态”，打造全省生态</w:t>
      </w:r>
      <w:r>
        <w:rPr>
          <w:rFonts w:ascii="仿宋_GB2312" w:eastAsia="仿宋_GB2312" w:hint="eastAsia"/>
          <w:sz w:val="32"/>
          <w:szCs w:val="32"/>
        </w:rPr>
        <w:t>高效农业发展示范区、农业新六产发展样板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创新农业发展新高地和品牌农业建设先行区。提出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推进粮油产业提质增效、</w:t>
      </w:r>
      <w:r>
        <w:rPr>
          <w:rFonts w:ascii="仿宋_GB2312" w:eastAsia="仿宋_GB2312" w:hint="eastAsia"/>
          <w:sz w:val="32"/>
          <w:szCs w:val="32"/>
        </w:rPr>
        <w:t>促进</w:t>
      </w:r>
      <w:r>
        <w:rPr>
          <w:rFonts w:ascii="仿宋_GB2312" w:eastAsia="仿宋_GB2312" w:hint="eastAsia"/>
          <w:sz w:val="32"/>
          <w:szCs w:val="32"/>
        </w:rPr>
        <w:t>特色优势产业培新育强、加快农村一二三产业融合发展、推进农业园区一体联动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项重点任务，分别由市发展改革委、市农业农村局、市畜牧兽医事业</w:t>
      </w:r>
      <w:r>
        <w:rPr>
          <w:rFonts w:ascii="仿宋_GB2312" w:eastAsia="仿宋_GB2312" w:hint="eastAsia"/>
          <w:sz w:val="32"/>
          <w:szCs w:val="32"/>
        </w:rPr>
        <w:t>发展</w:t>
      </w:r>
      <w:r>
        <w:rPr>
          <w:rFonts w:ascii="仿宋_GB2312" w:eastAsia="仿宋_GB2312" w:hint="eastAsia"/>
          <w:sz w:val="32"/>
          <w:szCs w:val="32"/>
        </w:rPr>
        <w:t>服务中心、市商务局、市文化和旅游局等部门（单位）按照职责分工负责。</w:t>
      </w:r>
    </w:p>
    <w:p w:rsidR="00734037" w:rsidRDefault="0069147E">
      <w:pPr>
        <w:widowControl w:val="0"/>
        <w:overflowPunct w:val="0"/>
        <w:ind w:firstLineChars="200" w:firstLine="643"/>
        <w:jc w:val="both"/>
        <w:rPr>
          <w:rFonts w:ascii="仿宋_GB2312" w:eastAsia="仿宋_GB2312" w:hAnsi="黑体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color w:val="000000" w:themeColor="text1"/>
          <w:sz w:val="32"/>
          <w:szCs w:val="32"/>
        </w:rPr>
        <w:t>第四部分，保障措施。</w:t>
      </w:r>
      <w:r>
        <w:rPr>
          <w:rFonts w:ascii="仿宋_GB2312" w:eastAsia="仿宋_GB2312" w:hAnsi="黑体" w:hint="eastAsia"/>
          <w:b/>
          <w:bCs/>
          <w:sz w:val="32"/>
          <w:szCs w:val="32"/>
        </w:rPr>
        <w:t>一是优化产业布局。</w:t>
      </w:r>
      <w:r>
        <w:rPr>
          <w:rFonts w:ascii="仿宋_GB2312" w:eastAsia="仿宋_GB2312" w:hAnsi="黑体" w:hint="eastAsia"/>
          <w:sz w:val="32"/>
          <w:szCs w:val="32"/>
        </w:rPr>
        <w:t>主要是：培育形成以龙头企业为核心、主导产业鲜明、产业链条健全、协作配套密切的工业发展</w:t>
      </w:r>
      <w:r w:rsidR="00650D25">
        <w:rPr>
          <w:rFonts w:ascii="仿宋_GB2312" w:eastAsia="仿宋_GB2312" w:hAnsi="黑体" w:hint="eastAsia"/>
          <w:sz w:val="32"/>
          <w:szCs w:val="32"/>
        </w:rPr>
        <w:t>体系；构建“一极、四带、四城”现代服务业发展格局；优化布局粮食</w:t>
      </w:r>
      <w:bookmarkStart w:id="0" w:name="_GoBack"/>
      <w:bookmarkEnd w:id="0"/>
      <w:r>
        <w:rPr>
          <w:rFonts w:ascii="仿宋_GB2312" w:eastAsia="仿宋_GB2312" w:hAnsi="黑体" w:hint="eastAsia"/>
          <w:sz w:val="32"/>
          <w:szCs w:val="32"/>
        </w:rPr>
        <w:t>、蔬菜、油料作物、林果、水产品、畜禽品等功能区。</w:t>
      </w:r>
      <w:r>
        <w:rPr>
          <w:rFonts w:ascii="仿宋_GB2312" w:eastAsia="仿宋_GB2312" w:hAnsi="黑体" w:hint="eastAsia"/>
          <w:b/>
          <w:bCs/>
          <w:sz w:val="32"/>
          <w:szCs w:val="32"/>
        </w:rPr>
        <w:t>二是壮大市场主体。</w:t>
      </w:r>
      <w:r>
        <w:rPr>
          <w:rFonts w:ascii="仿宋_GB2312" w:eastAsia="仿宋_GB2312" w:hAnsi="Times New Roman" w:hint="eastAsia"/>
          <w:sz w:val="32"/>
          <w:szCs w:val="32"/>
        </w:rPr>
        <w:t>主要是：全面推行“链长制”模式，分行业绘制“产业链生态图谱”，对上下游配套企业进行重组改造，形成以龙头企业为核心、产业链完</w:t>
      </w:r>
      <w:r>
        <w:rPr>
          <w:rFonts w:ascii="仿宋_GB2312" w:eastAsia="仿宋_GB2312" w:hAnsi="Times New Roman" w:hint="eastAsia"/>
          <w:sz w:val="32"/>
          <w:szCs w:val="32"/>
        </w:rPr>
        <w:lastRenderedPageBreak/>
        <w:t>善、协作配套能力较强的专业化协作发展体系。</w:t>
      </w:r>
      <w:r>
        <w:rPr>
          <w:rFonts w:ascii="仿宋_GB2312" w:eastAsia="仿宋_GB2312" w:hAnsi="黑体" w:hint="eastAsia"/>
          <w:b/>
          <w:bCs/>
          <w:sz w:val="32"/>
          <w:szCs w:val="32"/>
        </w:rPr>
        <w:t>三是强化项目支撑。</w:t>
      </w:r>
      <w:r>
        <w:rPr>
          <w:rFonts w:ascii="仿宋_GB2312" w:eastAsia="仿宋_GB2312" w:hAnsi="Times New Roman" w:hint="eastAsia"/>
          <w:sz w:val="32"/>
          <w:szCs w:val="32"/>
        </w:rPr>
        <w:t>主要是：</w:t>
      </w:r>
      <w:r>
        <w:rPr>
          <w:rFonts w:ascii="仿宋_GB2312" w:eastAsia="仿宋_GB2312" w:hAnsi="Times New Roman" w:hint="eastAsia"/>
          <w:bCs/>
          <w:snapToGrid w:val="0"/>
          <w:kern w:val="0"/>
          <w:sz w:val="32"/>
          <w:szCs w:val="32"/>
        </w:rPr>
        <w:t>强化招大引强、项目推进和谋划策划，优化</w:t>
      </w:r>
      <w:r>
        <w:rPr>
          <w:rFonts w:ascii="仿宋_GB2312" w:eastAsia="仿宋_GB2312" w:hAnsi="Times New Roman" w:hint="eastAsia"/>
          <w:sz w:val="32"/>
          <w:szCs w:val="32"/>
        </w:rPr>
        <w:t>提升全市产业链、供应链现代化水平。</w:t>
      </w:r>
      <w:r>
        <w:rPr>
          <w:rFonts w:ascii="仿宋_GB2312" w:eastAsia="仿宋_GB2312" w:hAnsi="黑体" w:hint="eastAsia"/>
          <w:b/>
          <w:bCs/>
          <w:sz w:val="32"/>
          <w:szCs w:val="32"/>
        </w:rPr>
        <w:t>四是加强要素保障。</w:t>
      </w:r>
    </w:p>
    <w:p w:rsidR="00734037" w:rsidRDefault="00734037">
      <w:pPr>
        <w:widowControl w:val="0"/>
        <w:overflowPunct w:val="0"/>
        <w:snapToGrid w:val="0"/>
        <w:ind w:firstLineChars="200" w:firstLine="640"/>
        <w:jc w:val="both"/>
        <w:rPr>
          <w:rFonts w:ascii="仿宋_GB2312" w:eastAsia="仿宋_GB2312" w:hAnsi="Times New Roman"/>
          <w:sz w:val="32"/>
          <w:szCs w:val="32"/>
        </w:rPr>
      </w:pPr>
    </w:p>
    <w:p w:rsidR="00734037" w:rsidRDefault="0069147E">
      <w:pPr>
        <w:widowControl w:val="0"/>
        <w:overflowPunct w:val="0"/>
        <w:snapToGrid w:val="0"/>
        <w:ind w:firstLineChars="200" w:firstLine="640"/>
        <w:jc w:val="both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解读人：市发展和改革委员会党组书记、主任，二级巡视员</w:t>
      </w:r>
      <w:r>
        <w:rPr>
          <w:rFonts w:ascii="仿宋_GB2312" w:eastAsia="仿宋_GB2312" w:hAnsi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hint="eastAsia"/>
          <w:sz w:val="32"/>
          <w:szCs w:val="32"/>
        </w:rPr>
        <w:t>董世武</w:t>
      </w:r>
    </w:p>
    <w:p w:rsidR="00734037" w:rsidRDefault="00734037">
      <w:pPr>
        <w:widowControl w:val="0"/>
        <w:overflowPunct w:val="0"/>
        <w:snapToGrid w:val="0"/>
        <w:ind w:firstLineChars="200" w:firstLine="640"/>
        <w:jc w:val="both"/>
        <w:rPr>
          <w:rFonts w:ascii="仿宋_GB2312" w:eastAsia="仿宋_GB2312" w:hAnsi="Times New Roman"/>
          <w:sz w:val="32"/>
          <w:szCs w:val="32"/>
        </w:rPr>
      </w:pPr>
    </w:p>
    <w:sectPr w:rsidR="00734037">
      <w:footerReference w:type="even" r:id="rId8"/>
      <w:footerReference w:type="default" r:id="rId9"/>
      <w:pgSz w:w="11906" w:h="16838"/>
      <w:pgMar w:top="1587" w:right="1701" w:bottom="1587" w:left="1701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47E" w:rsidRDefault="0069147E">
      <w:pPr>
        <w:spacing w:line="240" w:lineRule="auto"/>
      </w:pPr>
      <w:r>
        <w:separator/>
      </w:r>
    </w:p>
  </w:endnote>
  <w:endnote w:type="continuationSeparator" w:id="0">
    <w:p w:rsidR="0069147E" w:rsidRDefault="006914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30936481"/>
    </w:sdtPr>
    <w:sdtEndPr/>
    <w:sdtContent>
      <w:p w:rsidR="00734037" w:rsidRDefault="0069147E">
        <w:pPr>
          <w:pStyle w:val="a4"/>
          <w:spacing w:line="240" w:lineRule="auto"/>
          <w:jc w:val="left"/>
          <w:rPr>
            <w:sz w:val="24"/>
            <w:szCs w:val="24"/>
          </w:rPr>
        </w:pPr>
        <w:r>
          <w:rPr>
            <w:rFonts w:hint="eastAsia"/>
            <w:sz w:val="24"/>
            <w:szCs w:val="24"/>
          </w:rPr>
          <w:t>—</w:t>
        </w:r>
        <w:r>
          <w:rPr>
            <w:rFonts w:hint="eastAsia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0D25" w:rsidRPr="00650D25">
          <w:rPr>
            <w:rFonts w:ascii="Times New Roman" w:hAnsi="Times New Roman" w:cs="Times New Roman"/>
            <w:noProof/>
            <w:sz w:val="24"/>
            <w:szCs w:val="24"/>
            <w:lang w:val="zh-CN"/>
          </w:rPr>
          <w:t>4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hint="eastAsia"/>
            <w:sz w:val="24"/>
            <w:szCs w:val="24"/>
          </w:rPr>
          <w:t xml:space="preserve"> </w:t>
        </w:r>
        <w:r>
          <w:rPr>
            <w:rFonts w:hint="eastAsia"/>
            <w:sz w:val="24"/>
            <w:szCs w:val="24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30936467"/>
    </w:sdtPr>
    <w:sdtEndPr/>
    <w:sdtContent>
      <w:p w:rsidR="00734037" w:rsidRDefault="0069147E">
        <w:pPr>
          <w:pStyle w:val="a4"/>
          <w:spacing w:line="240" w:lineRule="auto"/>
          <w:jc w:val="right"/>
          <w:rPr>
            <w:sz w:val="24"/>
            <w:szCs w:val="24"/>
          </w:rPr>
        </w:pPr>
        <w:r>
          <w:rPr>
            <w:rFonts w:hint="eastAsia"/>
            <w:sz w:val="24"/>
            <w:szCs w:val="24"/>
          </w:rPr>
          <w:t>—</w:t>
        </w:r>
        <w:r>
          <w:rPr>
            <w:rFonts w:hint="eastAsia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0D25" w:rsidRPr="00650D25">
          <w:rPr>
            <w:rFonts w:ascii="Times New Roman" w:hAnsi="Times New Roman" w:cs="Times New Roman"/>
            <w:noProof/>
            <w:sz w:val="24"/>
            <w:szCs w:val="24"/>
            <w:lang w:val="zh-CN"/>
          </w:rPr>
          <w:t>5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hint="eastAsia"/>
            <w:sz w:val="24"/>
            <w:szCs w:val="24"/>
          </w:rPr>
          <w:t xml:space="preserve"> </w:t>
        </w:r>
        <w:r>
          <w:rPr>
            <w:rFonts w:hint="eastAsia"/>
            <w:sz w:val="24"/>
            <w:szCs w:val="24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47E" w:rsidRDefault="0069147E">
      <w:pPr>
        <w:spacing w:line="240" w:lineRule="auto"/>
      </w:pPr>
      <w:r>
        <w:separator/>
      </w:r>
    </w:p>
  </w:footnote>
  <w:footnote w:type="continuationSeparator" w:id="0">
    <w:p w:rsidR="0069147E" w:rsidRDefault="0069147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A53"/>
    <w:rsid w:val="000024BE"/>
    <w:rsid w:val="0002113F"/>
    <w:rsid w:val="000268AE"/>
    <w:rsid w:val="0003600E"/>
    <w:rsid w:val="00042000"/>
    <w:rsid w:val="00084A95"/>
    <w:rsid w:val="000A4ED7"/>
    <w:rsid w:val="000B248E"/>
    <w:rsid w:val="000C1168"/>
    <w:rsid w:val="000C6448"/>
    <w:rsid w:val="000C73AE"/>
    <w:rsid w:val="000E084A"/>
    <w:rsid w:val="000E4D58"/>
    <w:rsid w:val="000E4ED3"/>
    <w:rsid w:val="00102C7F"/>
    <w:rsid w:val="001769F8"/>
    <w:rsid w:val="001B5618"/>
    <w:rsid w:val="001D5E2D"/>
    <w:rsid w:val="001E3563"/>
    <w:rsid w:val="00206D17"/>
    <w:rsid w:val="002257E5"/>
    <w:rsid w:val="002265E1"/>
    <w:rsid w:val="00242EEF"/>
    <w:rsid w:val="00246C37"/>
    <w:rsid w:val="00261751"/>
    <w:rsid w:val="002745A8"/>
    <w:rsid w:val="002766C9"/>
    <w:rsid w:val="00294E0E"/>
    <w:rsid w:val="002A74D5"/>
    <w:rsid w:val="002B0581"/>
    <w:rsid w:val="002B3DF7"/>
    <w:rsid w:val="002C145D"/>
    <w:rsid w:val="002D67A8"/>
    <w:rsid w:val="002F1638"/>
    <w:rsid w:val="002F1920"/>
    <w:rsid w:val="003033CE"/>
    <w:rsid w:val="00303E17"/>
    <w:rsid w:val="00331E8C"/>
    <w:rsid w:val="003335D4"/>
    <w:rsid w:val="0033666D"/>
    <w:rsid w:val="00351B76"/>
    <w:rsid w:val="003C0A8B"/>
    <w:rsid w:val="003C0AAC"/>
    <w:rsid w:val="003C178B"/>
    <w:rsid w:val="003D4092"/>
    <w:rsid w:val="003F0C51"/>
    <w:rsid w:val="003F1A05"/>
    <w:rsid w:val="003F6E64"/>
    <w:rsid w:val="00426773"/>
    <w:rsid w:val="00434139"/>
    <w:rsid w:val="00436261"/>
    <w:rsid w:val="0043654D"/>
    <w:rsid w:val="00457FEB"/>
    <w:rsid w:val="004629C2"/>
    <w:rsid w:val="004736DC"/>
    <w:rsid w:val="00484A53"/>
    <w:rsid w:val="00490832"/>
    <w:rsid w:val="004C4045"/>
    <w:rsid w:val="004E1D9F"/>
    <w:rsid w:val="00510023"/>
    <w:rsid w:val="005116E2"/>
    <w:rsid w:val="00531602"/>
    <w:rsid w:val="005414D1"/>
    <w:rsid w:val="00545293"/>
    <w:rsid w:val="00555A60"/>
    <w:rsid w:val="005675CF"/>
    <w:rsid w:val="00573B13"/>
    <w:rsid w:val="00580267"/>
    <w:rsid w:val="00580708"/>
    <w:rsid w:val="005810A1"/>
    <w:rsid w:val="005844AF"/>
    <w:rsid w:val="005960A3"/>
    <w:rsid w:val="005A09F1"/>
    <w:rsid w:val="005A5665"/>
    <w:rsid w:val="005A7F7B"/>
    <w:rsid w:val="005C14CC"/>
    <w:rsid w:val="005C7A9E"/>
    <w:rsid w:val="005E40BE"/>
    <w:rsid w:val="005F229D"/>
    <w:rsid w:val="006114FE"/>
    <w:rsid w:val="00614738"/>
    <w:rsid w:val="006405EC"/>
    <w:rsid w:val="00650D25"/>
    <w:rsid w:val="006529F4"/>
    <w:rsid w:val="00667ACE"/>
    <w:rsid w:val="0069147E"/>
    <w:rsid w:val="006972C6"/>
    <w:rsid w:val="006A0DF5"/>
    <w:rsid w:val="006D50C3"/>
    <w:rsid w:val="006E18DB"/>
    <w:rsid w:val="006F72D1"/>
    <w:rsid w:val="00716A86"/>
    <w:rsid w:val="007271DB"/>
    <w:rsid w:val="00734037"/>
    <w:rsid w:val="0073440D"/>
    <w:rsid w:val="007549A5"/>
    <w:rsid w:val="0077252D"/>
    <w:rsid w:val="00785886"/>
    <w:rsid w:val="00786DED"/>
    <w:rsid w:val="00791F6F"/>
    <w:rsid w:val="007A2EFC"/>
    <w:rsid w:val="007A6205"/>
    <w:rsid w:val="007C18B1"/>
    <w:rsid w:val="007D5E99"/>
    <w:rsid w:val="007D72A2"/>
    <w:rsid w:val="007E7FDE"/>
    <w:rsid w:val="007F5279"/>
    <w:rsid w:val="0080110C"/>
    <w:rsid w:val="00806D54"/>
    <w:rsid w:val="00877F56"/>
    <w:rsid w:val="00891107"/>
    <w:rsid w:val="008954A3"/>
    <w:rsid w:val="008C5C07"/>
    <w:rsid w:val="008D17F5"/>
    <w:rsid w:val="008E05CD"/>
    <w:rsid w:val="008E5B8F"/>
    <w:rsid w:val="008E6A68"/>
    <w:rsid w:val="008F35CE"/>
    <w:rsid w:val="008F43C6"/>
    <w:rsid w:val="009765F6"/>
    <w:rsid w:val="0098168C"/>
    <w:rsid w:val="00991FDC"/>
    <w:rsid w:val="009E0C3B"/>
    <w:rsid w:val="009E5BEA"/>
    <w:rsid w:val="009F025F"/>
    <w:rsid w:val="009F48CF"/>
    <w:rsid w:val="00A17C1F"/>
    <w:rsid w:val="00A361FF"/>
    <w:rsid w:val="00A53823"/>
    <w:rsid w:val="00A81CA9"/>
    <w:rsid w:val="00AA25A7"/>
    <w:rsid w:val="00AC5327"/>
    <w:rsid w:val="00AD12C8"/>
    <w:rsid w:val="00AE0402"/>
    <w:rsid w:val="00AE40EA"/>
    <w:rsid w:val="00B075FE"/>
    <w:rsid w:val="00B11F36"/>
    <w:rsid w:val="00B16EE5"/>
    <w:rsid w:val="00B26226"/>
    <w:rsid w:val="00B3426C"/>
    <w:rsid w:val="00B45A18"/>
    <w:rsid w:val="00B576C9"/>
    <w:rsid w:val="00BC579F"/>
    <w:rsid w:val="00BD0D2B"/>
    <w:rsid w:val="00BD0E66"/>
    <w:rsid w:val="00BF6588"/>
    <w:rsid w:val="00BF7E6E"/>
    <w:rsid w:val="00C00C0A"/>
    <w:rsid w:val="00C20BF7"/>
    <w:rsid w:val="00C23E34"/>
    <w:rsid w:val="00C4522E"/>
    <w:rsid w:val="00C55B00"/>
    <w:rsid w:val="00C66ECD"/>
    <w:rsid w:val="00C81CFD"/>
    <w:rsid w:val="00CA3F21"/>
    <w:rsid w:val="00CC5C45"/>
    <w:rsid w:val="00CD4BA6"/>
    <w:rsid w:val="00CF38B9"/>
    <w:rsid w:val="00D12C15"/>
    <w:rsid w:val="00D23006"/>
    <w:rsid w:val="00D31647"/>
    <w:rsid w:val="00D57127"/>
    <w:rsid w:val="00D67795"/>
    <w:rsid w:val="00D82F69"/>
    <w:rsid w:val="00D840A3"/>
    <w:rsid w:val="00D85668"/>
    <w:rsid w:val="00D935AF"/>
    <w:rsid w:val="00DA5443"/>
    <w:rsid w:val="00DC2705"/>
    <w:rsid w:val="00DD2A76"/>
    <w:rsid w:val="00DE1949"/>
    <w:rsid w:val="00DE5E69"/>
    <w:rsid w:val="00E0600F"/>
    <w:rsid w:val="00E404EB"/>
    <w:rsid w:val="00E42A99"/>
    <w:rsid w:val="00E521EA"/>
    <w:rsid w:val="00E62BAF"/>
    <w:rsid w:val="00E93736"/>
    <w:rsid w:val="00EA5D3A"/>
    <w:rsid w:val="00EC2DC5"/>
    <w:rsid w:val="00ED70D2"/>
    <w:rsid w:val="00EF3584"/>
    <w:rsid w:val="00F0741B"/>
    <w:rsid w:val="00F2689F"/>
    <w:rsid w:val="00F42BBD"/>
    <w:rsid w:val="00F50D3D"/>
    <w:rsid w:val="00F70A2E"/>
    <w:rsid w:val="00F75888"/>
    <w:rsid w:val="00F762F7"/>
    <w:rsid w:val="00FC0030"/>
    <w:rsid w:val="00FC501F"/>
    <w:rsid w:val="00FD68D8"/>
    <w:rsid w:val="00FE4DA2"/>
    <w:rsid w:val="068B1EF1"/>
    <w:rsid w:val="08676395"/>
    <w:rsid w:val="0A603106"/>
    <w:rsid w:val="0BF61C04"/>
    <w:rsid w:val="0E777A96"/>
    <w:rsid w:val="0F7A39BB"/>
    <w:rsid w:val="12A30716"/>
    <w:rsid w:val="17201F00"/>
    <w:rsid w:val="189163C4"/>
    <w:rsid w:val="1DB83CE1"/>
    <w:rsid w:val="1F502AA5"/>
    <w:rsid w:val="29F265B8"/>
    <w:rsid w:val="2DB54CF7"/>
    <w:rsid w:val="2DC72DBE"/>
    <w:rsid w:val="36274340"/>
    <w:rsid w:val="37D43A23"/>
    <w:rsid w:val="38E94EA7"/>
    <w:rsid w:val="3BC46A4D"/>
    <w:rsid w:val="3D6805C9"/>
    <w:rsid w:val="3EF60697"/>
    <w:rsid w:val="40F268E6"/>
    <w:rsid w:val="463F3BBB"/>
    <w:rsid w:val="50E91ACE"/>
    <w:rsid w:val="534D7165"/>
    <w:rsid w:val="57E77F16"/>
    <w:rsid w:val="59730C4E"/>
    <w:rsid w:val="5BFD4620"/>
    <w:rsid w:val="5E044DE1"/>
    <w:rsid w:val="5E600703"/>
    <w:rsid w:val="5F8404DD"/>
    <w:rsid w:val="69172BE2"/>
    <w:rsid w:val="6C842C7C"/>
    <w:rsid w:val="71C31FD9"/>
    <w:rsid w:val="72FA1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600" w:lineRule="exact"/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No Spacing"/>
    <w:link w:val="Char2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无间隔 Char"/>
    <w:basedOn w:val="a0"/>
    <w:link w:val="a7"/>
    <w:uiPriority w:val="1"/>
    <w:qFormat/>
    <w:rPr>
      <w:kern w:val="0"/>
      <w:sz w:val="2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600" w:lineRule="exact"/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No Spacing"/>
    <w:link w:val="Char2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无间隔 Char"/>
    <w:basedOn w:val="a0"/>
    <w:link w:val="a7"/>
    <w:uiPriority w:val="1"/>
    <w:qFormat/>
    <w:rPr>
      <w:kern w:val="0"/>
      <w:sz w:val="2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329</Words>
  <Characters>1878</Characters>
  <Application>Microsoft Office Word</Application>
  <DocSecurity>0</DocSecurity>
  <Lines>15</Lines>
  <Paragraphs>4</Paragraphs>
  <ScaleCrop>false</ScaleCrop>
  <Company>China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xb21cn</cp:lastModifiedBy>
  <cp:revision>239</cp:revision>
  <cp:lastPrinted>2021-06-25T03:57:00Z</cp:lastPrinted>
  <dcterms:created xsi:type="dcterms:W3CDTF">2021-05-08T07:40:00Z</dcterms:created>
  <dcterms:modified xsi:type="dcterms:W3CDTF">2021-08-12T08:33:00Z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E7232304D67C4BE2924A2B1058A6A44E</vt:lpwstr>
  </property>
</Properties>
</file>